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78C" w14:textId="77777777" w:rsidR="003975C5" w:rsidRPr="005D0568" w:rsidRDefault="003975C5" w:rsidP="008A17CD">
      <w:pPr>
        <w:rPr>
          <w:rFonts w:ascii="Calibri" w:hAnsi="Calibri" w:cs="Arial"/>
          <w:noProof/>
          <w:sz w:val="22"/>
          <w:szCs w:val="22"/>
          <w:u w:val="single"/>
        </w:rPr>
      </w:pPr>
    </w:p>
    <w:p w14:paraId="02D1906B" w14:textId="715E8B19" w:rsidR="00BF2BE9" w:rsidRPr="005D0568" w:rsidRDefault="00517911" w:rsidP="008A17CD">
      <w:pPr>
        <w:rPr>
          <w:rFonts w:ascii="Calibri" w:hAnsi="Calibri" w:cs="Arial"/>
          <w:b/>
          <w:bCs/>
          <w:noProof/>
          <w:sz w:val="22"/>
          <w:szCs w:val="22"/>
          <w:u w:val="single"/>
        </w:rPr>
      </w:pPr>
      <w:r w:rsidRPr="005D0568">
        <w:rPr>
          <w:rFonts w:ascii="Calibri" w:hAnsi="Calibri" w:cs="Arial"/>
          <w:b/>
          <w:bCs/>
          <w:noProof/>
          <w:sz w:val="22"/>
          <w:szCs w:val="22"/>
          <w:u w:val="single"/>
        </w:rPr>
        <w:t>AANTEKENEN</w:t>
      </w:r>
    </w:p>
    <w:p w14:paraId="111A3561" w14:textId="40747F64" w:rsidR="00517911" w:rsidRPr="005D0568" w:rsidRDefault="00517911" w:rsidP="00517911">
      <w:pPr>
        <w:jc w:val="left"/>
        <w:rPr>
          <w:rFonts w:ascii="Calibri" w:hAnsi="Calibri" w:cs="Arial"/>
          <w:noProof/>
          <w:sz w:val="22"/>
          <w:szCs w:val="22"/>
        </w:rPr>
      </w:pPr>
      <w:r w:rsidRPr="005D0568">
        <w:rPr>
          <w:rFonts w:ascii="Calibri" w:hAnsi="Calibri" w:cs="Arial"/>
          <w:noProof/>
          <w:sz w:val="22"/>
          <w:szCs w:val="22"/>
        </w:rPr>
        <w:t>Gemeente Súdwest-Fryslân</w:t>
      </w:r>
    </w:p>
    <w:p w14:paraId="6167C0FC" w14:textId="19CF6C68" w:rsidR="00517911" w:rsidRPr="00CF7553" w:rsidRDefault="00517911" w:rsidP="00517911">
      <w:pPr>
        <w:jc w:val="left"/>
        <w:rPr>
          <w:rFonts w:ascii="Calibri" w:hAnsi="Calibri" w:cs="Arial"/>
          <w:noProof/>
          <w:sz w:val="22"/>
          <w:szCs w:val="22"/>
        </w:rPr>
      </w:pPr>
      <w:r w:rsidRPr="00CF7553">
        <w:rPr>
          <w:rFonts w:ascii="Calibri" w:hAnsi="Calibri" w:cs="Arial"/>
          <w:noProof/>
          <w:sz w:val="22"/>
          <w:szCs w:val="22"/>
        </w:rPr>
        <w:t xml:space="preserve">T.a.v. </w:t>
      </w:r>
      <w:r w:rsidR="00CF7553" w:rsidRPr="00CF7553">
        <w:rPr>
          <w:rFonts w:ascii="Calibri" w:hAnsi="Calibri" w:cs="Arial"/>
          <w:noProof/>
          <w:sz w:val="22"/>
          <w:szCs w:val="22"/>
        </w:rPr>
        <w:t>de Heffing</w:t>
      </w:r>
      <w:r w:rsidR="00CF7553">
        <w:rPr>
          <w:rFonts w:ascii="Calibri" w:hAnsi="Calibri" w:cs="Arial"/>
          <w:noProof/>
          <w:sz w:val="22"/>
          <w:szCs w:val="22"/>
        </w:rPr>
        <w:t>sambtenaar</w:t>
      </w:r>
      <w:r w:rsidR="0030383B">
        <w:rPr>
          <w:rFonts w:ascii="Calibri" w:hAnsi="Calibri" w:cs="Arial"/>
          <w:noProof/>
          <w:sz w:val="22"/>
          <w:szCs w:val="22"/>
        </w:rPr>
        <w:t>/ Gemeentebelastingen</w:t>
      </w:r>
      <w:r w:rsidRPr="00CF7553">
        <w:rPr>
          <w:rFonts w:ascii="Calibri" w:hAnsi="Calibri" w:cs="Arial"/>
          <w:noProof/>
          <w:sz w:val="22"/>
          <w:szCs w:val="22"/>
        </w:rPr>
        <w:br/>
        <w:t>Postbus 10.000</w:t>
      </w:r>
    </w:p>
    <w:p w14:paraId="6463645A" w14:textId="34E79E90" w:rsidR="00517911" w:rsidRPr="005D0568" w:rsidRDefault="00517911" w:rsidP="00517911">
      <w:pPr>
        <w:rPr>
          <w:rFonts w:ascii="Calibri" w:hAnsi="Calibri" w:cs="Arial"/>
          <w:noProof/>
          <w:sz w:val="22"/>
          <w:szCs w:val="22"/>
        </w:rPr>
      </w:pPr>
      <w:r w:rsidRPr="005D0568">
        <w:rPr>
          <w:rFonts w:ascii="Calibri" w:hAnsi="Calibri" w:cs="Arial"/>
          <w:noProof/>
          <w:sz w:val="22"/>
          <w:szCs w:val="22"/>
        </w:rPr>
        <w:t>8600 HA Sneek</w:t>
      </w:r>
    </w:p>
    <w:p w14:paraId="7E7352A7" w14:textId="77777777" w:rsidR="003975C5" w:rsidRPr="005D0568" w:rsidRDefault="00D576B2" w:rsidP="008A17CD">
      <w:pPr>
        <w:rPr>
          <w:rFonts w:ascii="Calibri" w:hAnsi="Calibri" w:cs="Arial"/>
          <w:sz w:val="22"/>
          <w:szCs w:val="22"/>
        </w:rPr>
      </w:pPr>
      <w:r w:rsidRPr="005D0568">
        <w:rPr>
          <w:rFonts w:ascii="Calibri" w:hAnsi="Calibri" w:cs="Arial"/>
          <w:sz w:val="22"/>
          <w:szCs w:val="22"/>
        </w:rPr>
        <w:br/>
      </w:r>
    </w:p>
    <w:p w14:paraId="70FD297D" w14:textId="2936C6FB" w:rsidR="00076130" w:rsidRPr="005D0568" w:rsidRDefault="00D576B2" w:rsidP="008A17CD">
      <w:pPr>
        <w:rPr>
          <w:rFonts w:ascii="Calibri" w:hAnsi="Calibri" w:cs="Arial"/>
          <w:sz w:val="22"/>
          <w:szCs w:val="22"/>
        </w:rPr>
      </w:pPr>
      <w:r w:rsidRPr="005D0568">
        <w:rPr>
          <w:rFonts w:ascii="Calibri" w:hAnsi="Calibri" w:cs="Arial"/>
          <w:sz w:val="22"/>
          <w:szCs w:val="22"/>
        </w:rPr>
        <w:br/>
      </w:r>
    </w:p>
    <w:p w14:paraId="7151ACC5" w14:textId="030331AE" w:rsidR="00D576B2" w:rsidRPr="005D0568" w:rsidRDefault="00076130" w:rsidP="008A17CD">
      <w:pPr>
        <w:rPr>
          <w:rFonts w:ascii="Calibri" w:hAnsi="Calibri" w:cs="Arial"/>
          <w:sz w:val="22"/>
          <w:szCs w:val="22"/>
        </w:rPr>
      </w:pPr>
      <w:r w:rsidRPr="005D0568">
        <w:rPr>
          <w:rFonts w:ascii="Calibri" w:hAnsi="Calibri" w:cs="Arial"/>
          <w:sz w:val="22"/>
          <w:szCs w:val="22"/>
        </w:rPr>
        <w:t>B</w:t>
      </w:r>
      <w:r w:rsidR="00D576B2" w:rsidRPr="005D0568">
        <w:rPr>
          <w:rFonts w:ascii="Calibri" w:hAnsi="Calibri" w:cs="Arial"/>
          <w:sz w:val="22"/>
          <w:szCs w:val="22"/>
        </w:rPr>
        <w:t>etreft</w:t>
      </w:r>
      <w:r w:rsidR="00D576B2" w:rsidRPr="005D0568">
        <w:rPr>
          <w:rFonts w:ascii="Calibri" w:hAnsi="Calibri" w:cs="Arial"/>
          <w:sz w:val="22"/>
          <w:szCs w:val="22"/>
        </w:rPr>
        <w:tab/>
      </w:r>
      <w:r w:rsidR="00D576B2" w:rsidRPr="005D0568">
        <w:rPr>
          <w:rFonts w:ascii="Calibri" w:hAnsi="Calibri" w:cs="Arial"/>
          <w:sz w:val="22"/>
          <w:szCs w:val="22"/>
        </w:rPr>
        <w:tab/>
      </w:r>
      <w:r w:rsidR="00D576B2" w:rsidRPr="005D0568">
        <w:rPr>
          <w:rFonts w:ascii="Calibri" w:hAnsi="Calibri" w:cs="Arial"/>
          <w:sz w:val="22"/>
          <w:szCs w:val="22"/>
        </w:rPr>
        <w:tab/>
        <w:t xml:space="preserve">: </w:t>
      </w:r>
      <w:r w:rsidR="001B43E6" w:rsidRPr="005D0568">
        <w:rPr>
          <w:rFonts w:ascii="Calibri" w:hAnsi="Calibri" w:cs="Arial"/>
          <w:sz w:val="22"/>
          <w:szCs w:val="22"/>
        </w:rPr>
        <w:t>Bezwaarschrift</w:t>
      </w:r>
      <w:r w:rsidR="000622B8" w:rsidRPr="005D0568">
        <w:rPr>
          <w:rFonts w:ascii="Calibri" w:hAnsi="Calibri" w:cs="Arial"/>
          <w:sz w:val="22"/>
          <w:szCs w:val="22"/>
        </w:rPr>
        <w:t xml:space="preserve"> OZB aanslag</w:t>
      </w:r>
      <w:r w:rsidR="00517911" w:rsidRPr="005D0568">
        <w:rPr>
          <w:rFonts w:ascii="Calibri" w:hAnsi="Calibri" w:cs="Arial"/>
          <w:sz w:val="22"/>
          <w:szCs w:val="22"/>
        </w:rPr>
        <w:t>(</w:t>
      </w:r>
      <w:r w:rsidR="000622B8" w:rsidRPr="005D0568">
        <w:rPr>
          <w:rFonts w:ascii="Calibri" w:hAnsi="Calibri" w:cs="Arial"/>
          <w:sz w:val="22"/>
          <w:szCs w:val="22"/>
        </w:rPr>
        <w:t>en</w:t>
      </w:r>
      <w:r w:rsidR="00517911" w:rsidRPr="005D0568">
        <w:rPr>
          <w:rFonts w:ascii="Calibri" w:hAnsi="Calibri" w:cs="Arial"/>
          <w:sz w:val="22"/>
          <w:szCs w:val="22"/>
        </w:rPr>
        <w:t>)</w:t>
      </w:r>
      <w:r w:rsidR="000622B8" w:rsidRPr="005D0568">
        <w:rPr>
          <w:rFonts w:ascii="Calibri" w:hAnsi="Calibri" w:cs="Arial"/>
          <w:sz w:val="22"/>
          <w:szCs w:val="22"/>
        </w:rPr>
        <w:t xml:space="preserve"> </w:t>
      </w:r>
      <w:r w:rsidR="00517911" w:rsidRPr="005D0568">
        <w:rPr>
          <w:rFonts w:ascii="Calibri" w:hAnsi="Calibri" w:cs="Arial"/>
          <w:sz w:val="22"/>
          <w:szCs w:val="22"/>
        </w:rPr>
        <w:t>202</w:t>
      </w:r>
      <w:r w:rsidR="002B2FA3">
        <w:rPr>
          <w:rFonts w:ascii="Calibri" w:hAnsi="Calibri" w:cs="Arial"/>
          <w:sz w:val="22"/>
          <w:szCs w:val="22"/>
        </w:rPr>
        <w:t>2</w:t>
      </w:r>
    </w:p>
    <w:p w14:paraId="655E0224" w14:textId="0F7AE0DE" w:rsidR="00076130" w:rsidRPr="005D0568" w:rsidRDefault="00D27846" w:rsidP="008A17CD">
      <w:pPr>
        <w:rPr>
          <w:rFonts w:ascii="Calibri" w:hAnsi="Calibri" w:cs="Arial"/>
          <w:sz w:val="22"/>
          <w:szCs w:val="22"/>
        </w:rPr>
      </w:pPr>
      <w:r w:rsidRPr="005D0568">
        <w:rPr>
          <w:rFonts w:ascii="Calibri" w:hAnsi="Calibri" w:cs="Arial"/>
          <w:sz w:val="22"/>
          <w:szCs w:val="22"/>
        </w:rPr>
        <w:t>Bijlagen</w:t>
      </w:r>
      <w:r w:rsidRPr="005D0568">
        <w:rPr>
          <w:rFonts w:ascii="Calibri" w:hAnsi="Calibri" w:cs="Arial"/>
          <w:sz w:val="22"/>
          <w:szCs w:val="22"/>
        </w:rPr>
        <w:tab/>
      </w:r>
      <w:r w:rsidRPr="005D0568">
        <w:rPr>
          <w:rFonts w:ascii="Calibri" w:hAnsi="Calibri" w:cs="Arial"/>
          <w:sz w:val="22"/>
          <w:szCs w:val="22"/>
        </w:rPr>
        <w:tab/>
      </w:r>
      <w:r w:rsidR="001B43E6" w:rsidRPr="005D0568">
        <w:rPr>
          <w:rFonts w:ascii="Calibri" w:hAnsi="Calibri" w:cs="Arial"/>
          <w:sz w:val="22"/>
          <w:szCs w:val="22"/>
        </w:rPr>
        <w:tab/>
      </w:r>
      <w:r w:rsidRPr="005D0568">
        <w:rPr>
          <w:rFonts w:ascii="Calibri" w:hAnsi="Calibri" w:cs="Arial"/>
          <w:sz w:val="22"/>
          <w:szCs w:val="22"/>
        </w:rPr>
        <w:t>:</w:t>
      </w:r>
      <w:r w:rsidR="001B2363" w:rsidRPr="005D0568">
        <w:rPr>
          <w:rFonts w:ascii="Calibri" w:hAnsi="Calibri" w:cs="Arial"/>
          <w:sz w:val="22"/>
          <w:szCs w:val="22"/>
        </w:rPr>
        <w:t xml:space="preserve"> </w:t>
      </w:r>
      <w:r w:rsidR="00146BFA">
        <w:rPr>
          <w:rFonts w:ascii="Calibri" w:hAnsi="Calibri" w:cs="Arial"/>
          <w:sz w:val="22"/>
          <w:szCs w:val="22"/>
        </w:rPr>
        <w:t xml:space="preserve">1 </w:t>
      </w:r>
    </w:p>
    <w:p w14:paraId="33B7366F" w14:textId="77777777" w:rsidR="003975C5" w:rsidRPr="005D0568" w:rsidRDefault="003975C5" w:rsidP="00972182">
      <w:pPr>
        <w:rPr>
          <w:rFonts w:ascii="Calibri" w:hAnsi="Calibri" w:cs="Arial"/>
          <w:sz w:val="22"/>
          <w:szCs w:val="22"/>
        </w:rPr>
      </w:pPr>
    </w:p>
    <w:p w14:paraId="7A114FA5" w14:textId="77777777" w:rsidR="003975C5" w:rsidRPr="005D0568" w:rsidRDefault="003975C5" w:rsidP="00972182">
      <w:pPr>
        <w:rPr>
          <w:rFonts w:ascii="Calibri" w:hAnsi="Calibri" w:cs="Arial"/>
          <w:sz w:val="22"/>
          <w:szCs w:val="22"/>
        </w:rPr>
      </w:pPr>
    </w:p>
    <w:p w14:paraId="05297384" w14:textId="77777777" w:rsidR="003975C5" w:rsidRPr="005D0568" w:rsidRDefault="003975C5" w:rsidP="00972182">
      <w:pPr>
        <w:rPr>
          <w:rFonts w:ascii="Calibri" w:hAnsi="Calibri" w:cs="Arial"/>
          <w:sz w:val="22"/>
          <w:szCs w:val="22"/>
        </w:rPr>
      </w:pPr>
    </w:p>
    <w:p w14:paraId="4DF9AF3C" w14:textId="1C980283" w:rsidR="00972182" w:rsidRPr="005D0568" w:rsidRDefault="00517911" w:rsidP="00972182">
      <w:pPr>
        <w:rPr>
          <w:rFonts w:ascii="Calibri" w:hAnsi="Calibri" w:cs="Arial"/>
          <w:sz w:val="22"/>
          <w:szCs w:val="22"/>
        </w:rPr>
      </w:pPr>
      <w:r w:rsidRPr="005D0568">
        <w:rPr>
          <w:rFonts w:ascii="Calibri" w:hAnsi="Calibri" w:cs="Arial"/>
          <w:sz w:val="22"/>
          <w:szCs w:val="22"/>
        </w:rPr>
        <w:t>[ PLAATS ], [ DATUM ]</w:t>
      </w:r>
    </w:p>
    <w:p w14:paraId="5FDBD153" w14:textId="77777777" w:rsidR="003975C5" w:rsidRPr="005D0568" w:rsidRDefault="003975C5" w:rsidP="008A17CD">
      <w:pPr>
        <w:rPr>
          <w:rFonts w:ascii="Calibri" w:hAnsi="Calibri" w:cs="Arial"/>
          <w:sz w:val="22"/>
          <w:szCs w:val="22"/>
        </w:rPr>
      </w:pPr>
    </w:p>
    <w:p w14:paraId="0EFA4F0C" w14:textId="77777777" w:rsidR="003975C5" w:rsidRPr="005D0568" w:rsidRDefault="003975C5" w:rsidP="008A17CD">
      <w:pPr>
        <w:rPr>
          <w:rFonts w:ascii="Calibri" w:hAnsi="Calibri" w:cs="Arial"/>
          <w:sz w:val="22"/>
          <w:szCs w:val="22"/>
        </w:rPr>
      </w:pPr>
    </w:p>
    <w:p w14:paraId="0441BD77" w14:textId="77777777" w:rsidR="00076130" w:rsidRPr="005D0568" w:rsidRDefault="00D576B2" w:rsidP="00AD02BD">
      <w:pPr>
        <w:spacing w:line="280" w:lineRule="exact"/>
        <w:jc w:val="left"/>
        <w:rPr>
          <w:rFonts w:ascii="Calibri" w:hAnsi="Calibri" w:cs="Arial"/>
          <w:noProof/>
          <w:sz w:val="22"/>
          <w:szCs w:val="22"/>
        </w:rPr>
      </w:pPr>
      <w:r w:rsidRPr="005D0568">
        <w:rPr>
          <w:rFonts w:ascii="Calibri" w:hAnsi="Calibri" w:cs="Arial"/>
          <w:noProof/>
          <w:sz w:val="22"/>
          <w:szCs w:val="22"/>
        </w:rPr>
        <w:t xml:space="preserve">Mijne dames en heren, </w:t>
      </w:r>
    </w:p>
    <w:p w14:paraId="690E385F" w14:textId="77777777" w:rsidR="00D576B2" w:rsidRPr="005D0568" w:rsidRDefault="00D576B2" w:rsidP="00AD02BD">
      <w:pPr>
        <w:spacing w:line="280" w:lineRule="exact"/>
        <w:jc w:val="left"/>
        <w:rPr>
          <w:rFonts w:ascii="Calibri" w:hAnsi="Calibri" w:cs="Arial"/>
          <w:noProof/>
          <w:sz w:val="22"/>
          <w:szCs w:val="22"/>
        </w:rPr>
      </w:pPr>
    </w:p>
    <w:p w14:paraId="79520F87" w14:textId="7ED7350F" w:rsidR="002B51E6" w:rsidRPr="005D0568" w:rsidRDefault="00517911" w:rsidP="0062748E">
      <w:pPr>
        <w:spacing w:before="120" w:after="120" w:line="280" w:lineRule="exact"/>
        <w:rPr>
          <w:rFonts w:ascii="Calibri" w:hAnsi="Calibri" w:cs="Arial"/>
          <w:sz w:val="22"/>
          <w:szCs w:val="22"/>
        </w:rPr>
      </w:pPr>
      <w:r w:rsidRPr="005D0568">
        <w:rPr>
          <w:rFonts w:ascii="Calibri" w:hAnsi="Calibri" w:cs="Arial"/>
          <w:sz w:val="22"/>
          <w:szCs w:val="22"/>
        </w:rPr>
        <w:t>Hierbij maak ik bezwaar</w:t>
      </w:r>
      <w:r w:rsidR="0065334C" w:rsidRPr="005D0568">
        <w:rPr>
          <w:rFonts w:ascii="Calibri" w:hAnsi="Calibri" w:cs="Arial"/>
          <w:sz w:val="22"/>
          <w:szCs w:val="22"/>
        </w:rPr>
        <w:t xml:space="preserve"> tegen de aanslag gemeentelijke belastingen</w:t>
      </w:r>
      <w:r w:rsidR="00C94C1A" w:rsidRPr="005D0568">
        <w:rPr>
          <w:rFonts w:ascii="Calibri" w:hAnsi="Calibri" w:cs="Arial"/>
          <w:sz w:val="22"/>
          <w:szCs w:val="22"/>
        </w:rPr>
        <w:t xml:space="preserve"> WOZ</w:t>
      </w:r>
      <w:r w:rsidR="00782818" w:rsidRPr="005D0568">
        <w:rPr>
          <w:rFonts w:ascii="Calibri" w:hAnsi="Calibri" w:cs="Arial"/>
          <w:sz w:val="22"/>
          <w:szCs w:val="22"/>
        </w:rPr>
        <w:t xml:space="preserve"> </w:t>
      </w:r>
      <w:r w:rsidR="0002419C" w:rsidRPr="005D0568">
        <w:rPr>
          <w:rFonts w:ascii="Calibri" w:hAnsi="Calibri" w:cs="Arial"/>
          <w:sz w:val="22"/>
          <w:szCs w:val="22"/>
        </w:rPr>
        <w:t>20</w:t>
      </w:r>
      <w:r w:rsidRPr="005D0568">
        <w:rPr>
          <w:rFonts w:ascii="Calibri" w:hAnsi="Calibri" w:cs="Arial"/>
          <w:sz w:val="22"/>
          <w:szCs w:val="22"/>
        </w:rPr>
        <w:t>2</w:t>
      </w:r>
      <w:r w:rsidR="002B2FA3">
        <w:rPr>
          <w:rFonts w:ascii="Calibri" w:hAnsi="Calibri" w:cs="Arial"/>
          <w:sz w:val="22"/>
          <w:szCs w:val="22"/>
        </w:rPr>
        <w:t>2</w:t>
      </w:r>
      <w:r w:rsidR="0002419C" w:rsidRPr="005D0568">
        <w:rPr>
          <w:rFonts w:ascii="Calibri" w:hAnsi="Calibri" w:cs="Arial"/>
          <w:sz w:val="22"/>
          <w:szCs w:val="22"/>
        </w:rPr>
        <w:t xml:space="preserve"> </w:t>
      </w:r>
      <w:r w:rsidR="00782818" w:rsidRPr="005D0568">
        <w:rPr>
          <w:rFonts w:ascii="Calibri" w:hAnsi="Calibri" w:cs="Arial"/>
          <w:sz w:val="22"/>
          <w:szCs w:val="22"/>
        </w:rPr>
        <w:t xml:space="preserve">(hierna: ‘de </w:t>
      </w:r>
      <w:r w:rsidR="00C270C0" w:rsidRPr="005D0568">
        <w:rPr>
          <w:rFonts w:ascii="Calibri" w:hAnsi="Calibri" w:cs="Arial"/>
          <w:sz w:val="22"/>
          <w:szCs w:val="22"/>
        </w:rPr>
        <w:t>A</w:t>
      </w:r>
      <w:r w:rsidR="00782818" w:rsidRPr="005D0568">
        <w:rPr>
          <w:rFonts w:ascii="Calibri" w:hAnsi="Calibri" w:cs="Arial"/>
          <w:sz w:val="22"/>
          <w:szCs w:val="22"/>
        </w:rPr>
        <w:t>anslag’</w:t>
      </w:r>
      <w:r w:rsidR="008301D7" w:rsidRPr="005D0568">
        <w:rPr>
          <w:rFonts w:ascii="Calibri" w:hAnsi="Calibri" w:cs="Arial"/>
          <w:sz w:val="22"/>
          <w:szCs w:val="22"/>
        </w:rPr>
        <w:t>, bijlage 1</w:t>
      </w:r>
      <w:r w:rsidR="00782818" w:rsidRPr="005D0568">
        <w:rPr>
          <w:rFonts w:ascii="Calibri" w:hAnsi="Calibri" w:cs="Arial"/>
          <w:sz w:val="22"/>
          <w:szCs w:val="22"/>
        </w:rPr>
        <w:t>)</w:t>
      </w:r>
      <w:r w:rsidRPr="005D0568">
        <w:rPr>
          <w:rFonts w:ascii="Calibri" w:hAnsi="Calibri" w:cs="Arial"/>
          <w:sz w:val="22"/>
          <w:szCs w:val="22"/>
        </w:rPr>
        <w:t xml:space="preserve"> d.d. [ DATUM AANSLAG ]</w:t>
      </w:r>
      <w:r w:rsidR="00986FAA">
        <w:rPr>
          <w:rFonts w:ascii="Calibri" w:hAnsi="Calibri" w:cs="Arial"/>
          <w:sz w:val="22"/>
          <w:szCs w:val="22"/>
        </w:rPr>
        <w:t>, met [AANSLAG NUMMER]</w:t>
      </w:r>
      <w:r w:rsidRPr="005D0568">
        <w:rPr>
          <w:rFonts w:ascii="Calibri" w:hAnsi="Calibri" w:cs="Arial"/>
          <w:sz w:val="22"/>
          <w:szCs w:val="22"/>
        </w:rPr>
        <w:t>. Ik stuur u bijgaand een kopie van de aanslag als bijlage bij dit bezwaarschrift als bijlage 1.</w:t>
      </w:r>
    </w:p>
    <w:p w14:paraId="332C04A6" w14:textId="77777777" w:rsidR="000317EA" w:rsidRPr="005D0568" w:rsidRDefault="000317EA" w:rsidP="00AD02BD">
      <w:pPr>
        <w:spacing w:line="280" w:lineRule="exact"/>
        <w:rPr>
          <w:rFonts w:ascii="Calibri" w:hAnsi="Calibri" w:cs="Arial"/>
          <w:sz w:val="22"/>
          <w:szCs w:val="22"/>
        </w:rPr>
      </w:pPr>
    </w:p>
    <w:p w14:paraId="302FCC0B" w14:textId="386829BA" w:rsidR="00BA56C4" w:rsidRPr="005D0568" w:rsidRDefault="003975C5" w:rsidP="00AD02BD">
      <w:pPr>
        <w:spacing w:line="280" w:lineRule="exact"/>
        <w:rPr>
          <w:rFonts w:ascii="Calibri" w:hAnsi="Calibri" w:cs="Arial"/>
          <w:sz w:val="22"/>
          <w:szCs w:val="22"/>
        </w:rPr>
      </w:pPr>
      <w:r w:rsidRPr="005D0568">
        <w:rPr>
          <w:rFonts w:ascii="Calibri" w:hAnsi="Calibri" w:cs="Arial"/>
          <w:sz w:val="22"/>
          <w:szCs w:val="22"/>
        </w:rPr>
        <w:t xml:space="preserve">Dit </w:t>
      </w:r>
      <w:r w:rsidR="009C2445" w:rsidRPr="005D0568">
        <w:rPr>
          <w:rFonts w:ascii="Calibri" w:hAnsi="Calibri" w:cs="Arial"/>
          <w:sz w:val="22"/>
          <w:szCs w:val="22"/>
        </w:rPr>
        <w:t>bezwaar</w:t>
      </w:r>
      <w:r w:rsidRPr="005D0568">
        <w:rPr>
          <w:rFonts w:ascii="Calibri" w:hAnsi="Calibri" w:cs="Arial"/>
          <w:sz w:val="22"/>
          <w:szCs w:val="22"/>
        </w:rPr>
        <w:t>schrift</w:t>
      </w:r>
      <w:r w:rsidR="009C2445" w:rsidRPr="005D0568">
        <w:rPr>
          <w:rFonts w:ascii="Calibri" w:hAnsi="Calibri" w:cs="Arial"/>
          <w:sz w:val="22"/>
          <w:szCs w:val="22"/>
        </w:rPr>
        <w:t xml:space="preserve"> richt zich tegen de verhoging van de </w:t>
      </w:r>
      <w:r w:rsidR="00BA56C4" w:rsidRPr="005D0568">
        <w:rPr>
          <w:rFonts w:ascii="Calibri" w:hAnsi="Calibri" w:cs="Arial"/>
          <w:sz w:val="22"/>
          <w:szCs w:val="22"/>
        </w:rPr>
        <w:t>OZB-</w:t>
      </w:r>
      <w:r w:rsidR="009C2445" w:rsidRPr="005D0568">
        <w:rPr>
          <w:rFonts w:ascii="Calibri" w:hAnsi="Calibri" w:cs="Arial"/>
          <w:sz w:val="22"/>
          <w:szCs w:val="22"/>
        </w:rPr>
        <w:t>aanslag</w:t>
      </w:r>
      <w:r w:rsidR="008A4E3D" w:rsidRPr="005D0568">
        <w:rPr>
          <w:rFonts w:ascii="Calibri" w:hAnsi="Calibri" w:cs="Arial"/>
          <w:sz w:val="22"/>
          <w:szCs w:val="22"/>
        </w:rPr>
        <w:t>en</w:t>
      </w:r>
      <w:r w:rsidR="00BA56C4" w:rsidRPr="005D0568">
        <w:rPr>
          <w:rFonts w:ascii="Calibri" w:hAnsi="Calibri" w:cs="Arial"/>
          <w:sz w:val="22"/>
          <w:szCs w:val="22"/>
        </w:rPr>
        <w:t xml:space="preserve"> voor niet</w:t>
      </w:r>
      <w:r w:rsidR="00A25AF5" w:rsidRPr="005D0568">
        <w:rPr>
          <w:rFonts w:ascii="Calibri" w:hAnsi="Calibri" w:cs="Arial"/>
          <w:sz w:val="22"/>
          <w:szCs w:val="22"/>
        </w:rPr>
        <w:t>-</w:t>
      </w:r>
      <w:r w:rsidR="005D0568" w:rsidRPr="005D0568">
        <w:rPr>
          <w:rFonts w:ascii="Calibri" w:hAnsi="Calibri" w:cs="Arial"/>
          <w:sz w:val="22"/>
          <w:szCs w:val="22"/>
        </w:rPr>
        <w:t>woningen</w:t>
      </w:r>
      <w:r w:rsidR="00B91507" w:rsidRPr="005D0568">
        <w:rPr>
          <w:rFonts w:ascii="Calibri" w:hAnsi="Calibri" w:cs="Arial"/>
          <w:sz w:val="22"/>
          <w:szCs w:val="22"/>
        </w:rPr>
        <w:t xml:space="preserve"> </w:t>
      </w:r>
      <w:r w:rsidR="0009558D" w:rsidRPr="005D0568">
        <w:rPr>
          <w:rFonts w:ascii="Calibri" w:hAnsi="Calibri" w:cs="Arial"/>
          <w:sz w:val="22"/>
          <w:szCs w:val="22"/>
        </w:rPr>
        <w:t>ten behoeve van</w:t>
      </w:r>
      <w:r w:rsidR="00B91507" w:rsidRPr="005D0568">
        <w:rPr>
          <w:rFonts w:ascii="Calibri" w:hAnsi="Calibri" w:cs="Arial"/>
          <w:sz w:val="22"/>
          <w:szCs w:val="22"/>
        </w:rPr>
        <w:t xml:space="preserve"> de invoering en de financiering van </w:t>
      </w:r>
      <w:r w:rsidR="00E61183" w:rsidRPr="005D0568">
        <w:rPr>
          <w:rFonts w:ascii="Calibri" w:hAnsi="Calibri" w:cs="Arial"/>
          <w:sz w:val="22"/>
          <w:szCs w:val="22"/>
        </w:rPr>
        <w:t xml:space="preserve">het </w:t>
      </w:r>
      <w:r w:rsidR="002B0243" w:rsidRPr="005D0568">
        <w:rPr>
          <w:rFonts w:ascii="Calibri" w:hAnsi="Calibri" w:cs="Arial"/>
          <w:sz w:val="22"/>
          <w:szCs w:val="22"/>
        </w:rPr>
        <w:t>Ondernemersfonds Súdwest-Fryslân</w:t>
      </w:r>
      <w:r w:rsidR="00BA56C4" w:rsidRPr="005D0568">
        <w:rPr>
          <w:rFonts w:ascii="Calibri" w:hAnsi="Calibri" w:cs="Arial"/>
          <w:sz w:val="22"/>
          <w:szCs w:val="22"/>
        </w:rPr>
        <w:t>. Deze verhoging is</w:t>
      </w:r>
      <w:r w:rsidR="009C2445" w:rsidRPr="005D0568">
        <w:rPr>
          <w:rFonts w:ascii="Calibri" w:hAnsi="Calibri" w:cs="Arial"/>
          <w:sz w:val="22"/>
          <w:szCs w:val="22"/>
        </w:rPr>
        <w:t xml:space="preserve"> </w:t>
      </w:r>
      <w:r w:rsidR="00BA56C4" w:rsidRPr="005D0568">
        <w:rPr>
          <w:rFonts w:ascii="Calibri" w:hAnsi="Calibri" w:cs="Arial"/>
          <w:sz w:val="22"/>
          <w:szCs w:val="22"/>
        </w:rPr>
        <w:t xml:space="preserve">voor het eerst </w:t>
      </w:r>
      <w:r w:rsidR="009C2445" w:rsidRPr="005D0568">
        <w:rPr>
          <w:rFonts w:ascii="Calibri" w:hAnsi="Calibri" w:cs="Arial"/>
          <w:sz w:val="22"/>
          <w:szCs w:val="22"/>
        </w:rPr>
        <w:t xml:space="preserve">vastgelegd in </w:t>
      </w:r>
      <w:r w:rsidR="00781210" w:rsidRPr="005D0568">
        <w:rPr>
          <w:rFonts w:ascii="Calibri" w:hAnsi="Calibri" w:cs="Arial"/>
          <w:sz w:val="22"/>
          <w:szCs w:val="22"/>
        </w:rPr>
        <w:t xml:space="preserve">de </w:t>
      </w:r>
      <w:r w:rsidR="00BA56C4" w:rsidRPr="005D0568">
        <w:rPr>
          <w:rFonts w:ascii="Calibri" w:hAnsi="Calibri" w:cs="Arial"/>
          <w:i/>
          <w:iCs/>
          <w:sz w:val="22"/>
          <w:szCs w:val="22"/>
        </w:rPr>
        <w:t xml:space="preserve">Verordening op de heffing en invordering van </w:t>
      </w:r>
      <w:proofErr w:type="spellStart"/>
      <w:r w:rsidR="00BA56C4" w:rsidRPr="005D0568">
        <w:rPr>
          <w:rFonts w:ascii="Calibri" w:hAnsi="Calibri" w:cs="Arial"/>
          <w:i/>
          <w:iCs/>
          <w:sz w:val="22"/>
          <w:szCs w:val="22"/>
        </w:rPr>
        <w:t>onroerende-zaakbelastingen</w:t>
      </w:r>
      <w:proofErr w:type="spellEnd"/>
      <w:r w:rsidR="00BA56C4" w:rsidRPr="005D0568">
        <w:rPr>
          <w:rFonts w:ascii="Calibri" w:hAnsi="Calibri" w:cs="Arial"/>
          <w:i/>
          <w:iCs/>
          <w:sz w:val="22"/>
          <w:szCs w:val="22"/>
        </w:rPr>
        <w:t xml:space="preserve"> 2016 </w:t>
      </w:r>
      <w:r w:rsidR="00BA56C4" w:rsidRPr="005D0568">
        <w:rPr>
          <w:rFonts w:ascii="Calibri" w:hAnsi="Calibri" w:cs="Arial"/>
          <w:sz w:val="22"/>
          <w:szCs w:val="22"/>
        </w:rPr>
        <w:t xml:space="preserve">voor de  gemeente Súdwest-Fryslân. De Verordening op de heffing en invordering van </w:t>
      </w:r>
      <w:proofErr w:type="spellStart"/>
      <w:r w:rsidR="00BA56C4" w:rsidRPr="005D0568">
        <w:rPr>
          <w:rFonts w:ascii="Calibri" w:hAnsi="Calibri" w:cs="Arial"/>
          <w:sz w:val="22"/>
          <w:szCs w:val="22"/>
        </w:rPr>
        <w:t>onroerende-zaakbelastingen</w:t>
      </w:r>
      <w:proofErr w:type="spellEnd"/>
      <w:r w:rsidR="00BA56C4" w:rsidRPr="005D0568">
        <w:rPr>
          <w:rFonts w:ascii="Calibri" w:hAnsi="Calibri" w:cs="Arial"/>
          <w:sz w:val="22"/>
          <w:szCs w:val="22"/>
        </w:rPr>
        <w:t xml:space="preserve"> 202</w:t>
      </w:r>
      <w:r w:rsidR="002B2FA3">
        <w:rPr>
          <w:rFonts w:ascii="Calibri" w:hAnsi="Calibri" w:cs="Arial"/>
          <w:sz w:val="22"/>
          <w:szCs w:val="22"/>
        </w:rPr>
        <w:t>2</w:t>
      </w:r>
      <w:r w:rsidR="00BA56C4" w:rsidRPr="005D0568">
        <w:rPr>
          <w:rFonts w:ascii="Calibri" w:hAnsi="Calibri" w:cs="Arial"/>
          <w:b/>
          <w:bCs/>
          <w:sz w:val="22"/>
          <w:szCs w:val="22"/>
        </w:rPr>
        <w:t xml:space="preserve"> </w:t>
      </w:r>
      <w:r w:rsidR="00295622" w:rsidRPr="005D0568">
        <w:rPr>
          <w:rFonts w:ascii="Calibri" w:hAnsi="Calibri" w:cs="Arial"/>
          <w:sz w:val="22"/>
          <w:szCs w:val="22"/>
        </w:rPr>
        <w:t xml:space="preserve">(hierna: 'de </w:t>
      </w:r>
      <w:r w:rsidR="00D66AC8" w:rsidRPr="005D0568">
        <w:rPr>
          <w:rFonts w:ascii="Calibri" w:hAnsi="Calibri" w:cs="Arial"/>
          <w:sz w:val="22"/>
          <w:szCs w:val="22"/>
        </w:rPr>
        <w:t>V</w:t>
      </w:r>
      <w:r w:rsidR="00295622" w:rsidRPr="005D0568">
        <w:rPr>
          <w:rFonts w:ascii="Calibri" w:hAnsi="Calibri" w:cs="Arial"/>
          <w:sz w:val="22"/>
          <w:szCs w:val="22"/>
        </w:rPr>
        <w:t>erordening')</w:t>
      </w:r>
      <w:r w:rsidR="00BA56C4" w:rsidRPr="005D0568">
        <w:rPr>
          <w:rFonts w:ascii="Calibri" w:hAnsi="Calibri" w:cs="Arial"/>
          <w:sz w:val="22"/>
          <w:szCs w:val="22"/>
        </w:rPr>
        <w:t xml:space="preserve"> vormt de grond</w:t>
      </w:r>
      <w:r w:rsidR="00E664B3" w:rsidRPr="005D0568">
        <w:rPr>
          <w:rFonts w:ascii="Calibri" w:hAnsi="Calibri" w:cs="Arial"/>
          <w:sz w:val="22"/>
          <w:szCs w:val="22"/>
        </w:rPr>
        <w:t>slag</w:t>
      </w:r>
      <w:r w:rsidR="00BA56C4" w:rsidRPr="005D0568">
        <w:rPr>
          <w:rFonts w:ascii="Calibri" w:hAnsi="Calibri" w:cs="Arial"/>
          <w:sz w:val="22"/>
          <w:szCs w:val="22"/>
        </w:rPr>
        <w:t xml:space="preserve"> van de aanslag(en) waartegen ik hierbij bezwaar maak</w:t>
      </w:r>
      <w:r w:rsidR="00DD6470" w:rsidRPr="005D0568">
        <w:rPr>
          <w:rFonts w:ascii="Calibri" w:hAnsi="Calibri" w:cs="Arial"/>
          <w:sz w:val="22"/>
          <w:szCs w:val="22"/>
        </w:rPr>
        <w:t>.</w:t>
      </w:r>
      <w:r w:rsidR="005C41EE" w:rsidRPr="005D0568">
        <w:rPr>
          <w:rFonts w:ascii="Calibri" w:hAnsi="Calibri" w:cs="Arial"/>
          <w:sz w:val="22"/>
          <w:szCs w:val="22"/>
        </w:rPr>
        <w:t xml:space="preserve"> </w:t>
      </w:r>
    </w:p>
    <w:p w14:paraId="66F8AEBC" w14:textId="77777777" w:rsidR="00BA56C4" w:rsidRPr="005D0568" w:rsidRDefault="00BA56C4" w:rsidP="00AD02BD">
      <w:pPr>
        <w:spacing w:line="280" w:lineRule="exact"/>
        <w:rPr>
          <w:rFonts w:ascii="Calibri" w:hAnsi="Calibri" w:cs="Arial"/>
          <w:sz w:val="22"/>
          <w:szCs w:val="22"/>
        </w:rPr>
      </w:pPr>
    </w:p>
    <w:p w14:paraId="0268EC73" w14:textId="365F7E8C" w:rsidR="00F91AB3" w:rsidRPr="005D0568" w:rsidRDefault="00BA56C4" w:rsidP="00AD02BD">
      <w:pPr>
        <w:spacing w:line="280" w:lineRule="exact"/>
        <w:rPr>
          <w:rFonts w:ascii="Calibri" w:hAnsi="Calibri" w:cs="Arial"/>
          <w:sz w:val="22"/>
          <w:szCs w:val="22"/>
        </w:rPr>
      </w:pPr>
      <w:r w:rsidRPr="005D0568">
        <w:rPr>
          <w:rFonts w:ascii="Calibri" w:hAnsi="Calibri" w:cs="Arial"/>
          <w:sz w:val="22"/>
          <w:szCs w:val="22"/>
        </w:rPr>
        <w:t>Kort gezegd heeft b</w:t>
      </w:r>
      <w:r w:rsidR="002D5888" w:rsidRPr="005D0568">
        <w:rPr>
          <w:rFonts w:ascii="Calibri" w:hAnsi="Calibri" w:cs="Arial"/>
          <w:sz w:val="22"/>
          <w:szCs w:val="22"/>
        </w:rPr>
        <w:t xml:space="preserve">ij de totstandkoming van </w:t>
      </w:r>
      <w:r w:rsidRPr="005D0568">
        <w:rPr>
          <w:rFonts w:ascii="Calibri" w:hAnsi="Calibri" w:cs="Arial"/>
          <w:sz w:val="22"/>
          <w:szCs w:val="22"/>
        </w:rPr>
        <w:t xml:space="preserve">het besluit tot de oprichting en financiering van het </w:t>
      </w:r>
      <w:proofErr w:type="spellStart"/>
      <w:r w:rsidRPr="005D0568">
        <w:rPr>
          <w:rFonts w:ascii="Calibri" w:hAnsi="Calibri" w:cs="Arial"/>
          <w:sz w:val="22"/>
          <w:szCs w:val="22"/>
        </w:rPr>
        <w:t>ondernemersfonds</w:t>
      </w:r>
      <w:proofErr w:type="spellEnd"/>
      <w:r w:rsidR="005D0568" w:rsidRPr="005D0568">
        <w:rPr>
          <w:rFonts w:ascii="Calibri" w:hAnsi="Calibri" w:cs="Arial"/>
          <w:sz w:val="22"/>
          <w:szCs w:val="22"/>
        </w:rPr>
        <w:t xml:space="preserve">, </w:t>
      </w:r>
      <w:r w:rsidR="002D5888" w:rsidRPr="005D0568">
        <w:rPr>
          <w:rFonts w:ascii="Calibri" w:hAnsi="Calibri" w:cs="Arial"/>
          <w:sz w:val="22"/>
          <w:szCs w:val="22"/>
        </w:rPr>
        <w:t xml:space="preserve"> </w:t>
      </w:r>
      <w:r w:rsidRPr="005D0568">
        <w:rPr>
          <w:rFonts w:ascii="Calibri" w:hAnsi="Calibri" w:cs="Arial"/>
          <w:sz w:val="22"/>
          <w:szCs w:val="22"/>
        </w:rPr>
        <w:t>het gemeentebestuur van de Gemeente Súdwest-Fryslân</w:t>
      </w:r>
      <w:r w:rsidR="002D5888" w:rsidRPr="005D0568">
        <w:rPr>
          <w:rFonts w:ascii="Calibri" w:hAnsi="Calibri" w:cs="Arial"/>
          <w:sz w:val="22"/>
          <w:szCs w:val="22"/>
        </w:rPr>
        <w:t xml:space="preserve"> een aantal algemene beginselen van behoorlijk bestuur geschonden</w:t>
      </w:r>
      <w:r w:rsidRPr="005D0568">
        <w:rPr>
          <w:rFonts w:ascii="Calibri" w:hAnsi="Calibri" w:cs="Arial"/>
          <w:sz w:val="22"/>
          <w:szCs w:val="22"/>
        </w:rPr>
        <w:t xml:space="preserve"> en is zij buiten de haar in de gemeentewet vastgelegde bevoegdheid getreden.</w:t>
      </w:r>
    </w:p>
    <w:p w14:paraId="4CC79E32" w14:textId="77777777" w:rsidR="00F91AB3" w:rsidRPr="005D0568" w:rsidRDefault="00F91AB3" w:rsidP="00AD02BD">
      <w:pPr>
        <w:spacing w:line="280" w:lineRule="exact"/>
        <w:rPr>
          <w:rFonts w:ascii="Calibri" w:hAnsi="Calibri" w:cs="Arial"/>
          <w:sz w:val="22"/>
          <w:szCs w:val="22"/>
        </w:rPr>
      </w:pPr>
    </w:p>
    <w:p w14:paraId="0F49EB5D" w14:textId="4A8D9DC6" w:rsidR="002D5888" w:rsidRPr="005D0568" w:rsidRDefault="002D5888" w:rsidP="00AD02BD">
      <w:pPr>
        <w:spacing w:line="280" w:lineRule="exact"/>
        <w:rPr>
          <w:rFonts w:ascii="Calibri" w:hAnsi="Calibri" w:cs="Arial"/>
          <w:sz w:val="22"/>
          <w:szCs w:val="22"/>
        </w:rPr>
      </w:pPr>
      <w:r w:rsidRPr="005D0568">
        <w:rPr>
          <w:rFonts w:ascii="Calibri" w:hAnsi="Calibri" w:cs="Arial"/>
          <w:sz w:val="22"/>
          <w:szCs w:val="22"/>
        </w:rPr>
        <w:t xml:space="preserve">Ik verzoek u </w:t>
      </w:r>
      <w:r w:rsidR="00B13CBD" w:rsidRPr="005D0568">
        <w:rPr>
          <w:rFonts w:ascii="Calibri" w:hAnsi="Calibri" w:cs="Arial"/>
          <w:sz w:val="22"/>
          <w:szCs w:val="22"/>
        </w:rPr>
        <w:t>het</w:t>
      </w:r>
      <w:r w:rsidRPr="005D0568">
        <w:rPr>
          <w:rFonts w:ascii="Calibri" w:hAnsi="Calibri" w:cs="Arial"/>
          <w:sz w:val="22"/>
          <w:szCs w:val="22"/>
        </w:rPr>
        <w:t xml:space="preserve"> bezwaar ontvankelijk en gegrond te </w:t>
      </w:r>
      <w:r w:rsidR="00D66AC8" w:rsidRPr="005D0568">
        <w:rPr>
          <w:rFonts w:ascii="Calibri" w:hAnsi="Calibri" w:cs="Arial"/>
          <w:sz w:val="22"/>
          <w:szCs w:val="22"/>
        </w:rPr>
        <w:t xml:space="preserve">verklaren, de Verordening </w:t>
      </w:r>
      <w:r w:rsidR="00BA56C4" w:rsidRPr="005D0568">
        <w:rPr>
          <w:rFonts w:ascii="Calibri" w:hAnsi="Calibri" w:cs="Arial"/>
          <w:sz w:val="22"/>
          <w:szCs w:val="22"/>
        </w:rPr>
        <w:t>202</w:t>
      </w:r>
      <w:r w:rsidR="002B2FA3">
        <w:rPr>
          <w:rFonts w:ascii="Calibri" w:hAnsi="Calibri" w:cs="Arial"/>
          <w:sz w:val="22"/>
          <w:szCs w:val="22"/>
        </w:rPr>
        <w:t>2</w:t>
      </w:r>
      <w:r w:rsidR="00BA56C4" w:rsidRPr="005D0568">
        <w:rPr>
          <w:rFonts w:ascii="Calibri" w:hAnsi="Calibri" w:cs="Arial"/>
          <w:sz w:val="22"/>
          <w:szCs w:val="22"/>
        </w:rPr>
        <w:t xml:space="preserve"> </w:t>
      </w:r>
      <w:r w:rsidR="00D66AC8" w:rsidRPr="005D0568">
        <w:rPr>
          <w:rFonts w:ascii="Calibri" w:hAnsi="Calibri" w:cs="Arial"/>
          <w:sz w:val="22"/>
          <w:szCs w:val="22"/>
        </w:rPr>
        <w:t>onverbindend te verklaren</w:t>
      </w:r>
      <w:r w:rsidR="00BA56C4" w:rsidRPr="005D0568">
        <w:rPr>
          <w:rFonts w:ascii="Calibri" w:hAnsi="Calibri" w:cs="Arial"/>
          <w:sz w:val="22"/>
          <w:szCs w:val="22"/>
        </w:rPr>
        <w:t>, de Aan</w:t>
      </w:r>
      <w:r w:rsidR="008164B2" w:rsidRPr="005D0568">
        <w:rPr>
          <w:rFonts w:ascii="Calibri" w:hAnsi="Calibri" w:cs="Arial"/>
          <w:sz w:val="22"/>
          <w:szCs w:val="22"/>
        </w:rPr>
        <w:t>sla</w:t>
      </w:r>
      <w:r w:rsidR="00BA56C4" w:rsidRPr="005D0568">
        <w:rPr>
          <w:rFonts w:ascii="Calibri" w:hAnsi="Calibri" w:cs="Arial"/>
          <w:sz w:val="22"/>
          <w:szCs w:val="22"/>
        </w:rPr>
        <w:t xml:space="preserve">g te vernietigen en aan mij een nieuwe aanslag op te leggen die gebaseerd is op de tariefstellingen zoals deze waren voordat uw gemeentebestuur besloot de tarieven te verhogen t.b.v. de financiering van het </w:t>
      </w:r>
      <w:proofErr w:type="spellStart"/>
      <w:r w:rsidR="00BA56C4" w:rsidRPr="005D0568">
        <w:rPr>
          <w:rFonts w:ascii="Calibri" w:hAnsi="Calibri" w:cs="Arial"/>
          <w:sz w:val="22"/>
          <w:szCs w:val="22"/>
        </w:rPr>
        <w:t>onderdemersfonds</w:t>
      </w:r>
      <w:proofErr w:type="spellEnd"/>
      <w:r w:rsidR="00BA56C4" w:rsidRPr="005D0568">
        <w:rPr>
          <w:rFonts w:ascii="Calibri" w:hAnsi="Calibri" w:cs="Arial"/>
          <w:sz w:val="22"/>
          <w:szCs w:val="22"/>
        </w:rPr>
        <w:t xml:space="preserve"> (in </w:t>
      </w:r>
      <w:proofErr w:type="spellStart"/>
      <w:r w:rsidR="00BA56C4" w:rsidRPr="005D0568">
        <w:rPr>
          <w:rFonts w:ascii="Calibri" w:hAnsi="Calibri" w:cs="Arial"/>
          <w:sz w:val="22"/>
          <w:szCs w:val="22"/>
        </w:rPr>
        <w:t>casu</w:t>
      </w:r>
      <w:proofErr w:type="spellEnd"/>
      <w:r w:rsidR="00BA56C4" w:rsidRPr="005D0568">
        <w:rPr>
          <w:rFonts w:ascii="Calibri" w:hAnsi="Calibri" w:cs="Arial"/>
          <w:sz w:val="22"/>
          <w:szCs w:val="22"/>
        </w:rPr>
        <w:t xml:space="preserve"> de </w:t>
      </w:r>
      <w:r w:rsidR="00BA56C4" w:rsidRPr="005D0568">
        <w:rPr>
          <w:rFonts w:ascii="Calibri" w:hAnsi="Calibri" w:cs="Arial"/>
          <w:i/>
          <w:iCs/>
          <w:sz w:val="22"/>
          <w:szCs w:val="22"/>
        </w:rPr>
        <w:t xml:space="preserve">Verordening op de heffing en invordering van </w:t>
      </w:r>
      <w:proofErr w:type="spellStart"/>
      <w:r w:rsidR="00BA56C4" w:rsidRPr="005D0568">
        <w:rPr>
          <w:rFonts w:ascii="Calibri" w:hAnsi="Calibri" w:cs="Arial"/>
          <w:i/>
          <w:iCs/>
          <w:sz w:val="22"/>
          <w:szCs w:val="22"/>
        </w:rPr>
        <w:t>onroerende-zaakbelastingen</w:t>
      </w:r>
      <w:proofErr w:type="spellEnd"/>
      <w:r w:rsidR="00BA56C4" w:rsidRPr="005D0568">
        <w:rPr>
          <w:rFonts w:ascii="Calibri" w:hAnsi="Calibri" w:cs="Arial"/>
          <w:i/>
          <w:iCs/>
          <w:sz w:val="22"/>
          <w:szCs w:val="22"/>
        </w:rPr>
        <w:t xml:space="preserve"> 2015)</w:t>
      </w:r>
      <w:r w:rsidR="00BA56C4" w:rsidRPr="005D0568">
        <w:rPr>
          <w:rFonts w:ascii="Calibri" w:hAnsi="Calibri" w:cs="Arial"/>
          <w:sz w:val="22"/>
          <w:szCs w:val="22"/>
        </w:rPr>
        <w:t>.</w:t>
      </w:r>
      <w:r w:rsidR="00980844" w:rsidRPr="005D0568">
        <w:rPr>
          <w:rFonts w:ascii="Calibri" w:hAnsi="Calibri" w:cs="Arial"/>
          <w:sz w:val="22"/>
          <w:szCs w:val="22"/>
        </w:rPr>
        <w:t xml:space="preserve"> </w:t>
      </w:r>
    </w:p>
    <w:p w14:paraId="659DA8FC" w14:textId="3E553469" w:rsidR="00C312E3" w:rsidRPr="005D0568" w:rsidRDefault="00A2229F" w:rsidP="00AD02BD">
      <w:pPr>
        <w:pStyle w:val="Lijstalinea"/>
        <w:numPr>
          <w:ilvl w:val="0"/>
          <w:numId w:val="7"/>
        </w:numPr>
        <w:spacing w:line="280" w:lineRule="exact"/>
        <w:rPr>
          <w:rFonts w:hAnsi="Calibri" w:cs="Arial"/>
          <w:b/>
        </w:rPr>
      </w:pPr>
      <w:r w:rsidRPr="005D0568">
        <w:rPr>
          <w:rFonts w:hAnsi="Calibri" w:cs="Arial"/>
          <w:b/>
        </w:rPr>
        <w:t xml:space="preserve">De besluitvorming ten aanzien van de invoering van het </w:t>
      </w:r>
      <w:proofErr w:type="spellStart"/>
      <w:r w:rsidRPr="005D0568">
        <w:rPr>
          <w:rFonts w:hAnsi="Calibri" w:cs="Arial"/>
          <w:b/>
        </w:rPr>
        <w:t>ondernemersfonds</w:t>
      </w:r>
      <w:proofErr w:type="spellEnd"/>
    </w:p>
    <w:p w14:paraId="7F82CF8D" w14:textId="79CF0E41" w:rsidR="00A2229F" w:rsidRPr="005D0568" w:rsidRDefault="00A2229F" w:rsidP="00A2229F">
      <w:pPr>
        <w:pStyle w:val="Lijstalinea"/>
        <w:numPr>
          <w:ilvl w:val="1"/>
          <w:numId w:val="7"/>
        </w:numPr>
        <w:spacing w:line="280" w:lineRule="exact"/>
        <w:rPr>
          <w:rFonts w:hAnsi="Calibri" w:cs="Arial"/>
        </w:rPr>
      </w:pPr>
      <w:r w:rsidRPr="005D0568">
        <w:rPr>
          <w:rFonts w:hAnsi="Calibri" w:cs="Arial"/>
        </w:rPr>
        <w:t xml:space="preserve">Op 17 december 2015 besloot het gemeentebestuur van de gemeente Súdwest-Fryslân tot het instellen van het Ondernemersfonds Súdwest-Fryslân (hierna: </w:t>
      </w:r>
      <w:r w:rsidRPr="005D0568">
        <w:rPr>
          <w:rFonts w:hAnsi="Calibri" w:cs="Arial"/>
        </w:rPr>
        <w:lastRenderedPageBreak/>
        <w:t>'</w:t>
      </w:r>
      <w:proofErr w:type="spellStart"/>
      <w:r w:rsidRPr="005D0568">
        <w:rPr>
          <w:rFonts w:hAnsi="Calibri" w:cs="Arial"/>
        </w:rPr>
        <w:t>ondernemersfonds</w:t>
      </w:r>
      <w:proofErr w:type="spellEnd"/>
      <w:r w:rsidRPr="005D0568">
        <w:rPr>
          <w:rFonts w:hAnsi="Calibri" w:cs="Arial"/>
        </w:rPr>
        <w:t xml:space="preserve"> SWF')</w:t>
      </w:r>
      <w:r w:rsidRPr="005D0568">
        <w:rPr>
          <w:rFonts w:hAnsi="Calibri" w:cs="Arial"/>
          <w:vertAlign w:val="superscript"/>
        </w:rPr>
        <w:footnoteReference w:id="1"/>
      </w:r>
      <w:r w:rsidRPr="005D0568">
        <w:rPr>
          <w:rFonts w:hAnsi="Calibri" w:cs="Arial"/>
        </w:rPr>
        <w:t xml:space="preserve">. Het initiatief voor oprichting van het fonds is voor die tijd genomen door Stichting Ondernemers Súdwest-Fryslân ('de ondernemersfederatie'). Om het </w:t>
      </w:r>
      <w:proofErr w:type="spellStart"/>
      <w:r w:rsidRPr="005D0568">
        <w:rPr>
          <w:rFonts w:hAnsi="Calibri" w:cs="Arial"/>
        </w:rPr>
        <w:t>ondernemersfonds</w:t>
      </w:r>
      <w:proofErr w:type="spellEnd"/>
      <w:r w:rsidRPr="005D0568">
        <w:rPr>
          <w:rFonts w:hAnsi="Calibri" w:cs="Arial"/>
        </w:rPr>
        <w:t xml:space="preserve"> te kunnen vullen besloot het gemeentebestuur tot een verhoging van de tariefstelling OZB voor niet-woningen.</w:t>
      </w:r>
    </w:p>
    <w:p w14:paraId="1762D338" w14:textId="2D8D4C7D" w:rsidR="00C51FAB" w:rsidRPr="005D0568" w:rsidRDefault="00C51FAB" w:rsidP="00C51FAB">
      <w:pPr>
        <w:pStyle w:val="Lijstalinea"/>
        <w:numPr>
          <w:ilvl w:val="1"/>
          <w:numId w:val="7"/>
        </w:numPr>
        <w:spacing w:line="280" w:lineRule="exact"/>
        <w:rPr>
          <w:rFonts w:hAnsi="Calibri" w:cs="Arial"/>
        </w:rPr>
      </w:pPr>
      <w:r w:rsidRPr="005D0568">
        <w:rPr>
          <w:rFonts w:hAnsi="Calibri" w:cs="Arial"/>
        </w:rPr>
        <w:t xml:space="preserve">Over de invoering van het Ondernemersfonds SWF is veel discussie geweest. De weerstand ertegen onder sommige ondernemers is momenteel nog steeds merkbaar. </w:t>
      </w:r>
    </w:p>
    <w:p w14:paraId="6392D1A5" w14:textId="77777777" w:rsidR="00C51FAB" w:rsidRPr="005D0568" w:rsidRDefault="00C51FAB" w:rsidP="00C51FAB">
      <w:pPr>
        <w:pStyle w:val="Lijstalinea"/>
        <w:numPr>
          <w:ilvl w:val="1"/>
          <w:numId w:val="7"/>
        </w:numPr>
        <w:spacing w:before="120" w:after="120" w:line="276" w:lineRule="auto"/>
        <w:ind w:right="369"/>
        <w:rPr>
          <w:rFonts w:hAnsi="Calibri" w:cs="Calibri"/>
        </w:rPr>
      </w:pPr>
      <w:r w:rsidRPr="005D0568">
        <w:rPr>
          <w:rFonts w:hAnsi="Calibri" w:cs="Calibri"/>
        </w:rPr>
        <w:t>Het besluit d.d. 17 december 2015 tot invoering van het Ondernemersfonds SWF heeft een viertal voor u relevante elementen.</w:t>
      </w:r>
    </w:p>
    <w:p w14:paraId="12818DD2" w14:textId="09DA64B5" w:rsidR="00C51FAB" w:rsidRPr="005D0568" w:rsidRDefault="00C51FAB" w:rsidP="00C51FAB">
      <w:pPr>
        <w:pStyle w:val="Lijstalinea"/>
        <w:numPr>
          <w:ilvl w:val="3"/>
          <w:numId w:val="20"/>
        </w:numPr>
        <w:spacing w:before="120" w:after="120" w:line="276" w:lineRule="auto"/>
        <w:ind w:right="369"/>
        <w:rPr>
          <w:rFonts w:hAnsi="Calibri" w:cs="Calibri"/>
        </w:rPr>
      </w:pPr>
      <w:r w:rsidRPr="005D0568">
        <w:rPr>
          <w:rFonts w:hAnsi="Calibri" w:cs="Calibri"/>
        </w:rPr>
        <w:t>Het besluit om mee te werken aan de oprichting van het Ondernemersfonds SWF</w:t>
      </w:r>
      <w:r w:rsidR="006108FD">
        <w:rPr>
          <w:rFonts w:hAnsi="Calibri" w:cs="Calibri"/>
        </w:rPr>
        <w:t>;</w:t>
      </w:r>
    </w:p>
    <w:p w14:paraId="0F2A73D4" w14:textId="791FD217" w:rsidR="00C51FAB" w:rsidRPr="005D0568" w:rsidRDefault="00C51FAB" w:rsidP="00C51FAB">
      <w:pPr>
        <w:pStyle w:val="Lijstalinea"/>
        <w:numPr>
          <w:ilvl w:val="3"/>
          <w:numId w:val="20"/>
        </w:numPr>
        <w:spacing w:before="120" w:after="120" w:line="276" w:lineRule="auto"/>
        <w:ind w:right="369"/>
        <w:rPr>
          <w:rFonts w:hAnsi="Calibri" w:cs="Calibri"/>
        </w:rPr>
      </w:pPr>
      <w:r w:rsidRPr="005D0568">
        <w:rPr>
          <w:rFonts w:hAnsi="Calibri" w:cs="Calibri"/>
        </w:rPr>
        <w:t xml:space="preserve">Het besluit om ten behoeve van de financiering van het Ondernemersfonds SWF een opslag op de </w:t>
      </w:r>
      <w:proofErr w:type="spellStart"/>
      <w:r w:rsidRPr="005D0568">
        <w:rPr>
          <w:rFonts w:hAnsi="Calibri" w:cs="Calibri"/>
        </w:rPr>
        <w:t>onroerende-zaakbelasting</w:t>
      </w:r>
      <w:proofErr w:type="spellEnd"/>
      <w:r w:rsidRPr="005D0568">
        <w:rPr>
          <w:rFonts w:hAnsi="Calibri" w:cs="Calibri"/>
        </w:rPr>
        <w:t xml:space="preserve"> voor niet- woningen te leggen van 0,06% van de WOZ-waarde</w:t>
      </w:r>
      <w:r w:rsidRPr="005D0568">
        <w:rPr>
          <w:rStyle w:val="Voetnootmarkering"/>
          <w:rFonts w:hAnsi="Calibri" w:cs="Calibri"/>
        </w:rPr>
        <w:footnoteReference w:id="2"/>
      </w:r>
      <w:r w:rsidR="006108FD">
        <w:rPr>
          <w:rFonts w:hAnsi="Calibri" w:cs="Calibri"/>
        </w:rPr>
        <w:t>;</w:t>
      </w:r>
    </w:p>
    <w:p w14:paraId="6AAA4AE1" w14:textId="7B115089" w:rsidR="00C51FAB" w:rsidRPr="005D0568" w:rsidRDefault="00C51FAB" w:rsidP="00C51FAB">
      <w:pPr>
        <w:pStyle w:val="Lijstalinea"/>
        <w:numPr>
          <w:ilvl w:val="3"/>
          <w:numId w:val="20"/>
        </w:numPr>
        <w:spacing w:before="120" w:after="120" w:line="276" w:lineRule="auto"/>
        <w:ind w:right="369"/>
        <w:rPr>
          <w:rFonts w:hAnsi="Calibri" w:cs="Calibri"/>
        </w:rPr>
      </w:pPr>
      <w:r w:rsidRPr="005D0568">
        <w:rPr>
          <w:rFonts w:hAnsi="Calibri" w:cs="Calibri"/>
        </w:rPr>
        <w:t xml:space="preserve">Het expliciet betrekken van de </w:t>
      </w:r>
      <w:r w:rsidRPr="005D0568">
        <w:rPr>
          <w:rFonts w:hAnsi="Calibri" w:cs="Calibri"/>
          <w:i/>
          <w:iCs/>
        </w:rPr>
        <w:t xml:space="preserve">retributieregeling </w:t>
      </w:r>
      <w:r w:rsidRPr="005D0568">
        <w:rPr>
          <w:rFonts w:hAnsi="Calibri" w:cs="Calibri"/>
        </w:rPr>
        <w:t>bij dit besluit</w:t>
      </w:r>
      <w:r w:rsidR="006108FD">
        <w:rPr>
          <w:rFonts w:hAnsi="Calibri" w:cs="Calibri"/>
        </w:rPr>
        <w:t>:</w:t>
      </w:r>
      <w:r w:rsidRPr="005D0568">
        <w:rPr>
          <w:rFonts w:hAnsi="Calibri" w:cs="Calibri"/>
        </w:rPr>
        <w:t xml:space="preserve"> Deze regeling wordt in de besluittekst zelf genoemd. In het besluit wordt verwezen naar de regeling in  de notitie van de Stichting Ondernemers Súdwest-Fryslân getiteld </w:t>
      </w:r>
      <w:r w:rsidR="006108FD">
        <w:rPr>
          <w:rFonts w:hAnsi="Calibri" w:cs="Calibri"/>
        </w:rPr>
        <w:t>‘</w:t>
      </w:r>
      <w:r w:rsidRPr="005D0568">
        <w:rPr>
          <w:rFonts w:hAnsi="Calibri" w:cs="Calibri"/>
        </w:rPr>
        <w:t xml:space="preserve">Het Ondernemersfonds </w:t>
      </w:r>
      <w:proofErr w:type="spellStart"/>
      <w:r w:rsidRPr="005D0568">
        <w:rPr>
          <w:rFonts w:hAnsi="Calibri" w:cs="Calibri"/>
        </w:rPr>
        <w:t>Súdwest</w:t>
      </w:r>
      <w:proofErr w:type="spellEnd"/>
      <w:r w:rsidRPr="005D0568">
        <w:rPr>
          <w:rFonts w:hAnsi="Calibri" w:cs="Calibri"/>
        </w:rPr>
        <w:t xml:space="preserve">- </w:t>
      </w:r>
      <w:r w:rsidRPr="005D0568">
        <w:rPr>
          <w:rFonts w:ascii="MS Gothic" w:eastAsia="MS Gothic" w:hAnsi="MS Gothic" w:cs="MS Gothic"/>
        </w:rPr>
        <w:t> </w:t>
      </w:r>
      <w:r w:rsidRPr="005D0568">
        <w:rPr>
          <w:rFonts w:hAnsi="Calibri" w:cs="Calibri"/>
        </w:rPr>
        <w:t>Fryslân' d.d. 28 oktober 2015"</w:t>
      </w:r>
      <w:r w:rsidRPr="005D0568">
        <w:rPr>
          <w:rStyle w:val="Voetnootmarkering"/>
          <w:rFonts w:hAnsi="Calibri" w:cs="Calibri"/>
        </w:rPr>
        <w:footnoteReference w:id="3"/>
      </w:r>
      <w:r w:rsidRPr="005D0568">
        <w:rPr>
          <w:rFonts w:hAnsi="Calibri" w:cs="Calibri"/>
        </w:rPr>
        <w:t xml:space="preserve">, alsmede het tussenrapport 'Ondernemerschap en Samenwerking in Súdwest-Fryslân', d.d. 1 mei 2015 van het </w:t>
      </w:r>
      <w:r w:rsidR="006108FD">
        <w:rPr>
          <w:rFonts w:hAnsi="Calibri" w:cs="Calibri"/>
        </w:rPr>
        <w:t>o</w:t>
      </w:r>
      <w:r w:rsidRPr="005D0568">
        <w:rPr>
          <w:rFonts w:hAnsi="Calibri" w:cs="Calibri"/>
        </w:rPr>
        <w:t>nderzoeksbureau Blaauwberg (hierna: het 'Rapport Blaauwberg')</w:t>
      </w:r>
      <w:r w:rsidRPr="005D0568">
        <w:rPr>
          <w:rStyle w:val="Voetnootmarkering"/>
          <w:rFonts w:hAnsi="Calibri" w:cs="Calibri"/>
        </w:rPr>
        <w:footnoteReference w:id="4"/>
      </w:r>
      <w:r w:rsidR="006108FD">
        <w:rPr>
          <w:rFonts w:hAnsi="Calibri" w:cs="Calibri"/>
        </w:rPr>
        <w:t>;</w:t>
      </w:r>
    </w:p>
    <w:p w14:paraId="220782CA" w14:textId="3678CA43" w:rsidR="00C51FAB" w:rsidRPr="005D0568" w:rsidRDefault="00C51FAB" w:rsidP="00C51FAB">
      <w:pPr>
        <w:pStyle w:val="Lijstalinea"/>
        <w:numPr>
          <w:ilvl w:val="3"/>
          <w:numId w:val="20"/>
        </w:numPr>
        <w:spacing w:before="120" w:after="120" w:line="276" w:lineRule="auto"/>
        <w:ind w:right="369"/>
        <w:rPr>
          <w:rFonts w:hAnsi="Calibri" w:cs="Calibri"/>
        </w:rPr>
      </w:pPr>
      <w:r w:rsidRPr="005D0568">
        <w:rPr>
          <w:rFonts w:hAnsi="Calibri" w:cs="Calibri"/>
        </w:rPr>
        <w:t xml:space="preserve">Dat het gemeentebestuur met de Stichting Ondernemersfonds Súdwest-Fryslân een overeenkomst zou sluiten over de werking van het </w:t>
      </w:r>
      <w:proofErr w:type="spellStart"/>
      <w:r w:rsidRPr="005D0568">
        <w:rPr>
          <w:rFonts w:hAnsi="Calibri" w:cs="Calibri"/>
        </w:rPr>
        <w:t>ondernemersfonds</w:t>
      </w:r>
      <w:proofErr w:type="spellEnd"/>
      <w:r w:rsidRPr="005D0568">
        <w:rPr>
          <w:rFonts w:hAnsi="Calibri" w:cs="Calibri"/>
        </w:rPr>
        <w:t>. Deze overeenkomst is uiteindelijk gesloten op 21 april 2016 en is getiteld 'Samenwerkingsovereenkomst Ondernemersfonds Súdwest-Fryslân'</w:t>
      </w:r>
      <w:r w:rsidRPr="005D0568">
        <w:rPr>
          <w:rFonts w:hAnsi="Calibri" w:cs="Calibri"/>
          <w:vertAlign w:val="superscript"/>
        </w:rPr>
        <w:footnoteReference w:id="5"/>
      </w:r>
      <w:r w:rsidRPr="005D0568">
        <w:rPr>
          <w:rFonts w:hAnsi="Calibri" w:cs="Calibri"/>
        </w:rPr>
        <w:t xml:space="preserve">. In dit convenant wordt eveneens expliciet verwezen naar </w:t>
      </w:r>
      <w:r w:rsidR="005D0568" w:rsidRPr="005D0568">
        <w:rPr>
          <w:rFonts w:hAnsi="Calibri" w:cs="Calibri"/>
        </w:rPr>
        <w:t xml:space="preserve">de notitie van 28 oktober 2015 zoals opgesteld door Stichting Ondernemersfonds </w:t>
      </w:r>
      <w:proofErr w:type="spellStart"/>
      <w:r w:rsidR="005D0568" w:rsidRPr="005D0568">
        <w:rPr>
          <w:rFonts w:hAnsi="Calibri" w:cs="Calibri"/>
        </w:rPr>
        <w:t>Sudwest</w:t>
      </w:r>
      <w:proofErr w:type="spellEnd"/>
      <w:r w:rsidR="005D0568" w:rsidRPr="005D0568">
        <w:rPr>
          <w:rFonts w:hAnsi="Calibri" w:cs="Calibri"/>
        </w:rPr>
        <w:t xml:space="preserve"> </w:t>
      </w:r>
      <w:proofErr w:type="spellStart"/>
      <w:r w:rsidR="005D0568" w:rsidRPr="005D0568">
        <w:rPr>
          <w:rFonts w:hAnsi="Calibri" w:cs="Calibri"/>
        </w:rPr>
        <w:t>Fryslan</w:t>
      </w:r>
      <w:proofErr w:type="spellEnd"/>
      <w:r w:rsidR="005D0568" w:rsidRPr="005D0568">
        <w:rPr>
          <w:rFonts w:hAnsi="Calibri" w:cs="Calibri"/>
        </w:rPr>
        <w:t>.</w:t>
      </w:r>
    </w:p>
    <w:p w14:paraId="44BC55B2" w14:textId="77777777" w:rsidR="00C51FAB" w:rsidRPr="005D0568" w:rsidRDefault="00C51FAB" w:rsidP="00C51FAB">
      <w:pPr>
        <w:pStyle w:val="Lijstalinea"/>
        <w:numPr>
          <w:ilvl w:val="1"/>
          <w:numId w:val="7"/>
        </w:numPr>
        <w:spacing w:before="120" w:after="120" w:line="276" w:lineRule="auto"/>
        <w:ind w:right="369"/>
        <w:rPr>
          <w:rFonts w:hAnsi="Calibri" w:cs="Calibri"/>
        </w:rPr>
      </w:pPr>
      <w:r w:rsidRPr="005D0568">
        <w:rPr>
          <w:rFonts w:hAnsi="Calibri" w:cs="Calibri"/>
        </w:rPr>
        <w:t xml:space="preserve">Juridisch gezien is er vrij weinig aan te merken op de eerste twee elementen van het besluit. Een gemeentebestuur is immers bevoegd om een </w:t>
      </w:r>
      <w:proofErr w:type="spellStart"/>
      <w:r w:rsidRPr="005D0568">
        <w:rPr>
          <w:rFonts w:hAnsi="Calibri" w:cs="Calibri"/>
        </w:rPr>
        <w:t>ondernemersfonds</w:t>
      </w:r>
      <w:proofErr w:type="spellEnd"/>
      <w:r w:rsidRPr="005D0568">
        <w:rPr>
          <w:rFonts w:hAnsi="Calibri" w:cs="Calibri"/>
        </w:rPr>
        <w:t xml:space="preserve"> te steunen middels subsidie en is tevens bevoegd om de tariefstelling voor de OZB daarvoor te wijzigen. </w:t>
      </w:r>
    </w:p>
    <w:p w14:paraId="7362EAB0" w14:textId="38677CFD" w:rsidR="00C51FAB" w:rsidRPr="005D0568" w:rsidRDefault="00C51FAB" w:rsidP="00C51FAB">
      <w:pPr>
        <w:pStyle w:val="Lijstalinea"/>
        <w:numPr>
          <w:ilvl w:val="1"/>
          <w:numId w:val="7"/>
        </w:numPr>
        <w:spacing w:before="120" w:after="120" w:line="276" w:lineRule="auto"/>
        <w:ind w:right="369"/>
        <w:rPr>
          <w:rFonts w:hAnsi="Calibri" w:cs="Calibri"/>
        </w:rPr>
      </w:pPr>
      <w:r w:rsidRPr="005D0568">
        <w:rPr>
          <w:rFonts w:hAnsi="Calibri" w:cs="Calibri"/>
        </w:rPr>
        <w:lastRenderedPageBreak/>
        <w:t>Het gaat echter mis op onderdelen 3 en 4 van voornoemde lijst.</w:t>
      </w:r>
      <w:r w:rsidR="00A25AF5" w:rsidRPr="005D0568">
        <w:rPr>
          <w:rFonts w:hAnsi="Calibri" w:cs="Calibri"/>
        </w:rPr>
        <w:t xml:space="preserve"> Dit zijn de eerste onderdelen waartegen dit bezwaar zich richt.</w:t>
      </w:r>
      <w:r w:rsidRPr="005D0568">
        <w:rPr>
          <w:rFonts w:hAnsi="Calibri" w:cs="Calibri"/>
        </w:rPr>
        <w:t xml:space="preserve"> Want hierin verwijst het gemeentebestuur in haar besluit naar de noodzaak van de </w:t>
      </w:r>
      <w:r w:rsidRPr="005D0568">
        <w:rPr>
          <w:rFonts w:hAnsi="Calibri" w:cs="Calibri"/>
          <w:i/>
          <w:iCs/>
        </w:rPr>
        <w:t>retributieregeling</w:t>
      </w:r>
      <w:r w:rsidRPr="005D0568">
        <w:rPr>
          <w:rFonts w:hAnsi="Calibri" w:cs="Calibri"/>
        </w:rPr>
        <w:t xml:space="preserve">, alsmede de werking ervan. </w:t>
      </w:r>
      <w:r w:rsidR="008B353A">
        <w:rPr>
          <w:rFonts w:hAnsi="Calibri" w:cs="Calibri"/>
        </w:rPr>
        <w:t>In een vergelijkbare zaak die speelde in de gemeente Teylingen, oordeelde het gerechtshof van Den Haag dat dit in strijd is met de wet, alsmede de algemene beginselen van behoorlijk bestuur.</w:t>
      </w:r>
    </w:p>
    <w:p w14:paraId="1F4D8530" w14:textId="08CFDB88" w:rsidR="00C51FAB" w:rsidRPr="005D0568" w:rsidRDefault="00270EA8" w:rsidP="00270EA8">
      <w:pPr>
        <w:pStyle w:val="Lijstalinea"/>
        <w:numPr>
          <w:ilvl w:val="0"/>
          <w:numId w:val="7"/>
        </w:numPr>
        <w:rPr>
          <w:rFonts w:hAnsi="Calibri" w:cs="Calibri"/>
          <w:b/>
          <w:bCs/>
        </w:rPr>
      </w:pPr>
      <w:r w:rsidRPr="005D0568">
        <w:rPr>
          <w:rFonts w:hAnsi="Calibri" w:cs="Calibri"/>
          <w:b/>
          <w:bCs/>
        </w:rPr>
        <w:t xml:space="preserve">De uitspraak van het gerechtshof Den Haag </w:t>
      </w:r>
    </w:p>
    <w:p w14:paraId="6DEF5B24" w14:textId="4FFB487E" w:rsidR="00225FC7" w:rsidRPr="005D0568" w:rsidRDefault="00225FC7" w:rsidP="00225FC7">
      <w:pPr>
        <w:pStyle w:val="Lijstalinea"/>
        <w:numPr>
          <w:ilvl w:val="1"/>
          <w:numId w:val="7"/>
        </w:numPr>
        <w:spacing w:before="120" w:after="120" w:line="276" w:lineRule="auto"/>
        <w:ind w:right="369"/>
        <w:rPr>
          <w:rFonts w:hAnsi="Calibri" w:cs="Calibri"/>
        </w:rPr>
      </w:pPr>
      <w:r w:rsidRPr="005D0568">
        <w:rPr>
          <w:rFonts w:hAnsi="Calibri" w:cs="Calibri"/>
        </w:rPr>
        <w:t xml:space="preserve">In de gemeente Teylingen is, ongeveer tegelijkertijd met de Gemeente SWF, eveneens een </w:t>
      </w:r>
      <w:proofErr w:type="spellStart"/>
      <w:r w:rsidRPr="005D0568">
        <w:rPr>
          <w:rFonts w:hAnsi="Calibri" w:cs="Calibri"/>
        </w:rPr>
        <w:t>ondernemersfonds</w:t>
      </w:r>
      <w:proofErr w:type="spellEnd"/>
      <w:r w:rsidRPr="005D0568">
        <w:rPr>
          <w:rFonts w:hAnsi="Calibri" w:cs="Calibri"/>
        </w:rPr>
        <w:t xml:space="preserve"> ingevoerd, dat eveneens uit een opslag van de OZB-tarieven voor niet-woningen gefinancierd zou worden. Het gemeentebestuur was ook geadviseerd door bureau Blaauwberg.</w:t>
      </w:r>
    </w:p>
    <w:p w14:paraId="12885A82" w14:textId="77777777" w:rsidR="00225FC7" w:rsidRPr="005D0568" w:rsidRDefault="00225FC7" w:rsidP="00225FC7">
      <w:pPr>
        <w:pStyle w:val="Lijstalinea"/>
        <w:numPr>
          <w:ilvl w:val="1"/>
          <w:numId w:val="7"/>
        </w:numPr>
        <w:spacing w:before="120" w:after="120" w:line="276" w:lineRule="auto"/>
        <w:ind w:right="369"/>
        <w:rPr>
          <w:rFonts w:hAnsi="Calibri" w:cs="Calibri"/>
        </w:rPr>
      </w:pPr>
      <w:r w:rsidRPr="005D0568">
        <w:rPr>
          <w:rFonts w:hAnsi="Calibri" w:cs="Calibri"/>
        </w:rPr>
        <w:t xml:space="preserve">Teneinde draagvlak te creëren, verbond het gemeentebestuur van Teylingen aan de instelling van het </w:t>
      </w:r>
      <w:proofErr w:type="spellStart"/>
      <w:r w:rsidRPr="005D0568">
        <w:rPr>
          <w:rFonts w:hAnsi="Calibri" w:cs="Calibri"/>
        </w:rPr>
        <w:t>ondernemersfonds</w:t>
      </w:r>
      <w:proofErr w:type="spellEnd"/>
      <w:r w:rsidRPr="005D0568">
        <w:rPr>
          <w:rFonts w:hAnsi="Calibri" w:cs="Calibri"/>
        </w:rPr>
        <w:t xml:space="preserve"> de noodzakelijke voorwaarde dat ondernemers uit een aantal sectoren via de op te richten Stichting Ondernemersfonds Teylingen deze opslag weer terug zouden ontvangen. Ook hier werd dus een retributieregeling ingevoerd. Het Gerechtshof Den Haag maakte in een uitspraak op 12 mei 2020 echter korte </w:t>
      </w:r>
      <w:proofErr w:type="spellStart"/>
      <w:r w:rsidRPr="005D0568">
        <w:rPr>
          <w:rFonts w:hAnsi="Calibri" w:cs="Calibri"/>
        </w:rPr>
        <w:t>mette</w:t>
      </w:r>
      <w:proofErr w:type="spellEnd"/>
      <w:r w:rsidRPr="005D0568">
        <w:rPr>
          <w:rFonts w:hAnsi="Calibri" w:cs="Calibri"/>
        </w:rPr>
        <w:t xml:space="preserve"> met deze gang van zaken (ECLI:NL:GHDHA:2020:927). In dit bezwaar zullen de parallellen worden uiteengezet tussen beide zaken. Parallellen die uiteindelijk zullen moeten leiden tot de conclusie dat dit bezwaar gegrond is.</w:t>
      </w:r>
    </w:p>
    <w:p w14:paraId="56F92D25" w14:textId="1CAB740E" w:rsidR="00C51FAB" w:rsidRPr="005D0568" w:rsidRDefault="00C51FAB" w:rsidP="00270EA8">
      <w:pPr>
        <w:pStyle w:val="Lijstalinea"/>
        <w:numPr>
          <w:ilvl w:val="1"/>
          <w:numId w:val="7"/>
        </w:numPr>
        <w:rPr>
          <w:rFonts w:hAnsi="Calibri" w:cs="Calibri"/>
          <w:b/>
          <w:bCs/>
        </w:rPr>
      </w:pPr>
      <w:r w:rsidRPr="005D0568">
        <w:rPr>
          <w:rFonts w:hAnsi="Calibri" w:cs="Calibri"/>
        </w:rPr>
        <w:t>D</w:t>
      </w:r>
      <w:r w:rsidR="00270EA8" w:rsidRPr="005D0568">
        <w:rPr>
          <w:rFonts w:hAnsi="Calibri" w:cs="Calibri"/>
        </w:rPr>
        <w:t>ez</w:t>
      </w:r>
      <w:r w:rsidRPr="005D0568">
        <w:rPr>
          <w:rFonts w:hAnsi="Calibri" w:cs="Calibri"/>
        </w:rPr>
        <w:t>e uitspraak</w:t>
      </w:r>
      <w:r w:rsidR="00270EA8" w:rsidRPr="005D0568">
        <w:rPr>
          <w:rFonts w:hAnsi="Calibri" w:cs="Calibri"/>
        </w:rPr>
        <w:t xml:space="preserve"> van 12 mei 2020</w:t>
      </w:r>
      <w:r w:rsidRPr="005D0568">
        <w:rPr>
          <w:rFonts w:hAnsi="Calibri" w:cs="Calibri"/>
        </w:rPr>
        <w:t xml:space="preserve"> laat zich als volgt samenvatten.</w:t>
      </w:r>
    </w:p>
    <w:p w14:paraId="3045BDD5" w14:textId="528510C9" w:rsidR="00C51FAB" w:rsidRPr="005D0568" w:rsidRDefault="00C51FAB" w:rsidP="008B353A">
      <w:pPr>
        <w:pStyle w:val="Lijstalinea"/>
        <w:numPr>
          <w:ilvl w:val="2"/>
          <w:numId w:val="7"/>
        </w:numPr>
        <w:spacing w:before="120" w:after="120"/>
        <w:ind w:right="369"/>
        <w:rPr>
          <w:rFonts w:hAnsi="Calibri" w:cs="Calibri"/>
        </w:rPr>
      </w:pPr>
      <w:r w:rsidRPr="005D0568">
        <w:rPr>
          <w:rFonts w:hAnsi="Calibri" w:cs="Calibri"/>
        </w:rPr>
        <w:t>De Gemeenteraad van Teylingen h</w:t>
      </w:r>
      <w:r w:rsidR="00374FFC" w:rsidRPr="005D0568">
        <w:rPr>
          <w:rFonts w:hAnsi="Calibri" w:cs="Calibri"/>
        </w:rPr>
        <w:t>ad</w:t>
      </w:r>
      <w:r w:rsidRPr="005D0568">
        <w:rPr>
          <w:rFonts w:hAnsi="Calibri" w:cs="Calibri"/>
        </w:rPr>
        <w:t xml:space="preserve"> een </w:t>
      </w:r>
      <w:proofErr w:type="spellStart"/>
      <w:r w:rsidRPr="005D0568">
        <w:rPr>
          <w:rFonts w:hAnsi="Calibri" w:cs="Calibri"/>
        </w:rPr>
        <w:t>ondernemersfonds</w:t>
      </w:r>
      <w:proofErr w:type="spellEnd"/>
      <w:r w:rsidRPr="005D0568">
        <w:rPr>
          <w:rFonts w:hAnsi="Calibri" w:cs="Calibri"/>
        </w:rPr>
        <w:t xml:space="preserve"> ingesteld dat gefinancierd werd door een opslag vast te stellen op de tarieven voor </w:t>
      </w:r>
      <w:proofErr w:type="spellStart"/>
      <w:r w:rsidRPr="005D0568">
        <w:rPr>
          <w:rFonts w:hAnsi="Calibri" w:cs="Calibri"/>
        </w:rPr>
        <w:t>onroerende-zaakbelastingen</w:t>
      </w:r>
      <w:proofErr w:type="spellEnd"/>
      <w:r w:rsidRPr="005D0568">
        <w:rPr>
          <w:rFonts w:hAnsi="Calibri" w:cs="Calibri"/>
        </w:rPr>
        <w:t xml:space="preserve"> voor niet-woningen over de jaren 2016 en 2017</w:t>
      </w:r>
      <w:r w:rsidR="00374FFC" w:rsidRPr="005D0568">
        <w:rPr>
          <w:rFonts w:hAnsi="Calibri" w:cs="Calibri"/>
        </w:rPr>
        <w:t xml:space="preserve">  (eenzelfde gang van zaken als in Súdwest-Fryslân)</w:t>
      </w:r>
      <w:r w:rsidRPr="005D0568">
        <w:rPr>
          <w:rFonts w:hAnsi="Calibri" w:cs="Calibri"/>
        </w:rPr>
        <w:t xml:space="preserve">. De extra opbrengst is aangewend voor de financiering van het </w:t>
      </w:r>
      <w:proofErr w:type="spellStart"/>
      <w:r w:rsidRPr="005D0568">
        <w:rPr>
          <w:rFonts w:hAnsi="Calibri" w:cs="Calibri"/>
        </w:rPr>
        <w:t>ondernemersfonds</w:t>
      </w:r>
      <w:proofErr w:type="spellEnd"/>
      <w:r w:rsidRPr="005D0568">
        <w:rPr>
          <w:rFonts w:hAnsi="Calibri" w:cs="Calibri"/>
        </w:rPr>
        <w:t xml:space="preserve"> Teylingen. </w:t>
      </w:r>
    </w:p>
    <w:p w14:paraId="5CF0FD2E" w14:textId="24AD146A" w:rsidR="00270EA8" w:rsidRPr="005D0568" w:rsidRDefault="00C51FAB" w:rsidP="008B353A">
      <w:pPr>
        <w:pStyle w:val="Lijstalinea"/>
        <w:numPr>
          <w:ilvl w:val="2"/>
          <w:numId w:val="7"/>
        </w:numPr>
        <w:spacing w:before="120" w:after="120"/>
        <w:ind w:right="369"/>
        <w:rPr>
          <w:rFonts w:hAnsi="Calibri" w:cs="Calibri"/>
        </w:rPr>
      </w:pPr>
      <w:r w:rsidRPr="005D0568">
        <w:rPr>
          <w:rFonts w:hAnsi="Calibri" w:cs="Calibri"/>
        </w:rPr>
        <w:t>Tevens werd besloten tot restitutie</w:t>
      </w:r>
      <w:r w:rsidR="005D0568" w:rsidRPr="005D0568">
        <w:rPr>
          <w:rFonts w:hAnsi="Calibri" w:cs="Calibri"/>
        </w:rPr>
        <w:t xml:space="preserve"> (retributie(compensatie))</w:t>
      </w:r>
      <w:r w:rsidRPr="005D0568">
        <w:rPr>
          <w:rFonts w:hAnsi="Calibri" w:cs="Calibri"/>
        </w:rPr>
        <w:t xml:space="preserve"> van de opslag aan ondernemers in bepaalde sectoren</w:t>
      </w:r>
      <w:r w:rsidR="00374FFC" w:rsidRPr="005D0568">
        <w:rPr>
          <w:rFonts w:hAnsi="Calibri" w:cs="Calibri"/>
        </w:rPr>
        <w:t xml:space="preserve"> middels een zogenaamde </w:t>
      </w:r>
      <w:r w:rsidR="00374FFC" w:rsidRPr="005D0568">
        <w:rPr>
          <w:rFonts w:hAnsi="Calibri" w:cs="Calibri"/>
          <w:i/>
          <w:iCs/>
        </w:rPr>
        <w:t>retributieregeling</w:t>
      </w:r>
      <w:r w:rsidR="00374FFC" w:rsidRPr="005D0568">
        <w:rPr>
          <w:rFonts w:hAnsi="Calibri" w:cs="Calibri"/>
        </w:rPr>
        <w:t xml:space="preserve"> (en ook deze retributieregeling is in effect in Súdwest-Fryslân)</w:t>
      </w:r>
      <w:r w:rsidRPr="005D0568">
        <w:rPr>
          <w:rFonts w:hAnsi="Calibri" w:cs="Calibri"/>
        </w:rPr>
        <w:t xml:space="preserve">. De </w:t>
      </w:r>
      <w:r w:rsidR="00374FFC" w:rsidRPr="005D0568">
        <w:rPr>
          <w:rFonts w:hAnsi="Calibri" w:cs="Calibri"/>
        </w:rPr>
        <w:t>belanghebbende</w:t>
      </w:r>
      <w:r w:rsidRPr="005D0568">
        <w:rPr>
          <w:rFonts w:hAnsi="Calibri" w:cs="Calibri"/>
        </w:rPr>
        <w:t xml:space="preserve"> had bezwaren tegen de ongelijke behandeling van in haar ogen gelijke gevallen. </w:t>
      </w:r>
    </w:p>
    <w:p w14:paraId="7E90629A" w14:textId="0976E17A" w:rsidR="00C51FAB" w:rsidRPr="005D0568" w:rsidRDefault="00C51FAB" w:rsidP="008B353A">
      <w:pPr>
        <w:pStyle w:val="Lijstalinea"/>
        <w:numPr>
          <w:ilvl w:val="2"/>
          <w:numId w:val="7"/>
        </w:numPr>
        <w:spacing w:before="120" w:after="120"/>
        <w:ind w:right="369"/>
        <w:rPr>
          <w:rFonts w:hAnsi="Calibri" w:cs="Calibri"/>
        </w:rPr>
      </w:pPr>
      <w:r w:rsidRPr="005D0568">
        <w:rPr>
          <w:rFonts w:hAnsi="Calibri" w:cs="Calibri"/>
        </w:rPr>
        <w:t xml:space="preserve">Volgens </w:t>
      </w:r>
      <w:r w:rsidR="008B353A">
        <w:rPr>
          <w:rFonts w:hAnsi="Calibri" w:cs="Calibri"/>
        </w:rPr>
        <w:t>de belanghebbende</w:t>
      </w:r>
      <w:r w:rsidRPr="005D0568">
        <w:rPr>
          <w:rFonts w:hAnsi="Calibri" w:cs="Calibri"/>
        </w:rPr>
        <w:t xml:space="preserve"> wordt de in de wet in formele zin neergelegde beperking van de bevoegdheid tot verdergaande differentiatie van de OZB-tarieven geschonden indien de gemeentelijke wetgever met een omweg, buiten de Verordening om, algemeen verbindende voorschriften vaststelt of andere besluiten neemt die er (mede) op gericht zijn voorbij te gaan aan de wettelijke beperking van de bevoegdheid tot verdergaande differentiatie van de OZB-tarieven. </w:t>
      </w:r>
      <w:r w:rsidR="00374FFC" w:rsidRPr="005D0568">
        <w:rPr>
          <w:rFonts w:hAnsi="Calibri" w:cs="Calibri"/>
        </w:rPr>
        <w:t xml:space="preserve">Kort gezegd: het gemeentebestuur voerde </w:t>
      </w:r>
      <w:r w:rsidR="00374FFC" w:rsidRPr="005D0568">
        <w:rPr>
          <w:rFonts w:hAnsi="Calibri" w:cs="Calibri"/>
          <w:i/>
          <w:iCs/>
        </w:rPr>
        <w:t xml:space="preserve">de facto </w:t>
      </w:r>
      <w:r w:rsidR="00374FFC" w:rsidRPr="005D0568">
        <w:rPr>
          <w:rFonts w:hAnsi="Calibri" w:cs="Calibri"/>
        </w:rPr>
        <w:t>vier tarieven in, terwijl zij bevoegd was er maar twee in te stellen.</w:t>
      </w:r>
    </w:p>
    <w:p w14:paraId="0423A011" w14:textId="5C03C142" w:rsidR="00C51FAB" w:rsidRPr="005D0568" w:rsidRDefault="00C51FAB" w:rsidP="008B353A">
      <w:pPr>
        <w:pStyle w:val="Lijstalinea"/>
        <w:numPr>
          <w:ilvl w:val="2"/>
          <w:numId w:val="7"/>
        </w:numPr>
        <w:spacing w:before="120" w:after="120"/>
        <w:ind w:right="369"/>
        <w:rPr>
          <w:rFonts w:hAnsi="Calibri" w:cs="Calibri"/>
        </w:rPr>
      </w:pPr>
      <w:r w:rsidRPr="005D0568">
        <w:rPr>
          <w:rFonts w:hAnsi="Calibri" w:cs="Calibri"/>
        </w:rPr>
        <w:t>Het doel en strekking van de wet worden miskend indien de gevolgen van het met een omweg voorbijgaan aan de beperking van de bevoegdheid tot verdergaande differentiatie van de OZB-tarieven in stand zouden worden gelaten</w:t>
      </w:r>
      <w:r w:rsidR="00374FFC" w:rsidRPr="005D0568">
        <w:rPr>
          <w:rFonts w:hAnsi="Calibri" w:cs="Calibri"/>
        </w:rPr>
        <w:t>, zo oordeelde het hof</w:t>
      </w:r>
      <w:r w:rsidRPr="005D0568">
        <w:rPr>
          <w:rFonts w:hAnsi="Calibri" w:cs="Calibri"/>
        </w:rPr>
        <w:t>. Tevens levert dit een schending van het gelijkheidsbeginsel op.</w:t>
      </w:r>
    </w:p>
    <w:p w14:paraId="65C051DD" w14:textId="4498017D" w:rsidR="00C51FAB" w:rsidRPr="005D0568" w:rsidRDefault="00C51FAB" w:rsidP="008B353A">
      <w:pPr>
        <w:pStyle w:val="Lijstalinea"/>
        <w:numPr>
          <w:ilvl w:val="2"/>
          <w:numId w:val="7"/>
        </w:numPr>
        <w:ind w:right="369"/>
        <w:rPr>
          <w:rFonts w:hAnsi="Calibri" w:cs="Calibri"/>
        </w:rPr>
      </w:pPr>
      <w:r w:rsidRPr="005D0568">
        <w:rPr>
          <w:rFonts w:hAnsi="Calibri" w:cs="Calibri"/>
        </w:rPr>
        <w:lastRenderedPageBreak/>
        <w:t xml:space="preserve">Het gerechtshof vernietigt daarop de uitspraken op bezwaar van de Belastingen Bollenstreek alsmede de uitspraak van de rechtbank Den Haag. Bovendien legt het gerechtshof aan </w:t>
      </w:r>
      <w:r w:rsidR="00270EA8" w:rsidRPr="005D0568">
        <w:rPr>
          <w:rFonts w:hAnsi="Calibri" w:cs="Calibri"/>
        </w:rPr>
        <w:t>de belanghebbende</w:t>
      </w:r>
      <w:r w:rsidRPr="005D0568">
        <w:rPr>
          <w:rFonts w:hAnsi="Calibri" w:cs="Calibri"/>
        </w:rPr>
        <w:t xml:space="preserve"> een nieuwe aanslag OZB op en baseert deze op de eerdere, oude, Verordening. Het gerechtshof ontneemt dus de werking van de Verordening met de tariefstelling 2016/2017.</w:t>
      </w:r>
      <w:r w:rsidRPr="005D0568">
        <w:rPr>
          <w:rFonts w:hAnsi="Calibri" w:cs="Calibri"/>
        </w:rPr>
        <w:tab/>
      </w:r>
    </w:p>
    <w:p w14:paraId="1E7AD61E" w14:textId="217DCB4E" w:rsidR="00C51FAB" w:rsidRPr="005D0568" w:rsidRDefault="00245AC0" w:rsidP="008B353A">
      <w:pPr>
        <w:pStyle w:val="Lijstalinea"/>
        <w:numPr>
          <w:ilvl w:val="2"/>
          <w:numId w:val="7"/>
        </w:numPr>
        <w:ind w:right="369"/>
        <w:rPr>
          <w:rFonts w:hAnsi="Calibri" w:cs="Calibri"/>
        </w:rPr>
      </w:pPr>
      <w:r w:rsidRPr="005D0568">
        <w:rPr>
          <w:rFonts w:hAnsi="Calibri" w:cs="Calibri"/>
        </w:rPr>
        <w:t>Het</w:t>
      </w:r>
      <w:r w:rsidR="00C51FAB" w:rsidRPr="005D0568">
        <w:rPr>
          <w:rFonts w:hAnsi="Calibri" w:cs="Calibri"/>
        </w:rPr>
        <w:t xml:space="preserve"> gerechtshof </w:t>
      </w:r>
      <w:r w:rsidRPr="005D0568">
        <w:rPr>
          <w:rFonts w:hAnsi="Calibri" w:cs="Calibri"/>
        </w:rPr>
        <w:t xml:space="preserve">heeft </w:t>
      </w:r>
      <w:r w:rsidR="00C51FAB" w:rsidRPr="005D0568">
        <w:rPr>
          <w:rFonts w:hAnsi="Calibri" w:cs="Calibri"/>
        </w:rPr>
        <w:t xml:space="preserve">de Verordening 2017 (en dus ook 2016) buiten toepassing gelaten. Dit houdt in dat alle bezitters van niet-woningen over het jaar 2016 en 2017 een te hoge aanslag hebben ontvangen. </w:t>
      </w:r>
      <w:r w:rsidR="008B353A">
        <w:rPr>
          <w:rFonts w:hAnsi="Calibri" w:cs="Calibri"/>
        </w:rPr>
        <w:t xml:space="preserve">Dit kwalificeert als onrechtmatige overheidsdaad. </w:t>
      </w:r>
    </w:p>
    <w:p w14:paraId="05E0BDE9" w14:textId="0EAA8899" w:rsidR="0078502B" w:rsidRPr="005D0568" w:rsidRDefault="0078502B" w:rsidP="0078502B">
      <w:pPr>
        <w:pStyle w:val="Lijstalinea"/>
        <w:numPr>
          <w:ilvl w:val="0"/>
          <w:numId w:val="7"/>
        </w:numPr>
        <w:ind w:right="369"/>
        <w:rPr>
          <w:rFonts w:hAnsi="Calibri" w:cs="Calibri"/>
          <w:b/>
          <w:bCs/>
        </w:rPr>
      </w:pPr>
      <w:r w:rsidRPr="005D0568">
        <w:rPr>
          <w:rFonts w:hAnsi="Calibri" w:cs="Calibri"/>
          <w:b/>
          <w:bCs/>
        </w:rPr>
        <w:t>De situatie in Súdwest-Fryslân</w:t>
      </w:r>
    </w:p>
    <w:p w14:paraId="057912A4" w14:textId="1EF4F15D" w:rsidR="00C51FAB" w:rsidRPr="005D0568" w:rsidRDefault="00374FFC" w:rsidP="00374FFC">
      <w:pPr>
        <w:pStyle w:val="Lijstalinea"/>
        <w:numPr>
          <w:ilvl w:val="1"/>
          <w:numId w:val="7"/>
        </w:numPr>
        <w:ind w:right="369"/>
        <w:rPr>
          <w:rFonts w:hAnsi="Calibri" w:cs="Calibri"/>
        </w:rPr>
      </w:pPr>
      <w:r w:rsidRPr="005D0568">
        <w:rPr>
          <w:rFonts w:hAnsi="Calibri" w:cs="Calibri"/>
        </w:rPr>
        <w:t>Zoals gesteld, d</w:t>
      </w:r>
      <w:r w:rsidR="00C51FAB" w:rsidRPr="005D0568">
        <w:rPr>
          <w:rFonts w:hAnsi="Calibri" w:cs="Calibri"/>
        </w:rPr>
        <w:t>e para</w:t>
      </w:r>
      <w:r w:rsidR="005D0568" w:rsidRPr="005D0568">
        <w:rPr>
          <w:rFonts w:hAnsi="Calibri" w:cs="Calibri"/>
        </w:rPr>
        <w:t>l</w:t>
      </w:r>
      <w:r w:rsidR="00C51FAB" w:rsidRPr="005D0568">
        <w:rPr>
          <w:rFonts w:hAnsi="Calibri" w:cs="Calibri"/>
        </w:rPr>
        <w:t>lellen tussen deze uitspraak en de situatie in Súdwest-Fryslân zijn groot. Ook in Súdwest-Fryslân maakt de retributieregeling deel uit van de besluitvorming</w:t>
      </w:r>
      <w:r w:rsidR="0078502B" w:rsidRPr="005D0568">
        <w:rPr>
          <w:rFonts w:hAnsi="Calibri" w:cs="Calibri"/>
        </w:rPr>
        <w:t xml:space="preserve"> voorafgaand aan de oprichting van het </w:t>
      </w:r>
      <w:proofErr w:type="spellStart"/>
      <w:r w:rsidR="0078502B" w:rsidRPr="005D0568">
        <w:rPr>
          <w:rFonts w:hAnsi="Calibri" w:cs="Calibri"/>
        </w:rPr>
        <w:t>ondernemersfonds</w:t>
      </w:r>
      <w:proofErr w:type="spellEnd"/>
      <w:r w:rsidR="0078502B" w:rsidRPr="005D0568">
        <w:rPr>
          <w:rFonts w:hAnsi="Calibri" w:cs="Calibri"/>
        </w:rPr>
        <w:t>.</w:t>
      </w:r>
    </w:p>
    <w:p w14:paraId="360F2DF0" w14:textId="749C0746" w:rsidR="00CC5612" w:rsidRPr="005D0568" w:rsidRDefault="00CC5612" w:rsidP="00CC5612">
      <w:pPr>
        <w:pStyle w:val="Lijstalinea"/>
        <w:numPr>
          <w:ilvl w:val="1"/>
          <w:numId w:val="7"/>
        </w:numPr>
        <w:ind w:right="369"/>
        <w:rPr>
          <w:rFonts w:hAnsi="Calibri" w:cs="Calibri"/>
        </w:rPr>
      </w:pPr>
      <w:r w:rsidRPr="005D0568">
        <w:rPr>
          <w:rFonts w:hAnsi="Calibri" w:cs="Calibri"/>
        </w:rPr>
        <w:t xml:space="preserve">Deze retributieregeling </w:t>
      </w:r>
      <w:r w:rsidR="0016201C">
        <w:rPr>
          <w:rFonts w:hAnsi="Calibri" w:cs="Calibri"/>
        </w:rPr>
        <w:t xml:space="preserve">is ervoor bedoeld </w:t>
      </w:r>
      <w:r w:rsidRPr="005D0568">
        <w:rPr>
          <w:rFonts w:hAnsi="Calibri" w:cs="Calibri"/>
        </w:rPr>
        <w:t xml:space="preserve">dat bepaalde </w:t>
      </w:r>
      <w:proofErr w:type="spellStart"/>
      <w:r w:rsidRPr="005D0568">
        <w:rPr>
          <w:rFonts w:hAnsi="Calibri" w:cs="Calibri"/>
        </w:rPr>
        <w:t>aangeslagenen</w:t>
      </w:r>
      <w:proofErr w:type="spellEnd"/>
      <w:r w:rsidRPr="005D0568">
        <w:rPr>
          <w:rFonts w:hAnsi="Calibri" w:cs="Calibri"/>
        </w:rPr>
        <w:t xml:space="preserve">, in dit geval de agrarische ondernemers of ondernemers uit een bepaalde 'kernen', de OZB-verhoging via het </w:t>
      </w:r>
      <w:proofErr w:type="spellStart"/>
      <w:r w:rsidRPr="005D0568">
        <w:rPr>
          <w:rFonts w:hAnsi="Calibri" w:cs="Calibri"/>
        </w:rPr>
        <w:t>ondernemersfonds</w:t>
      </w:r>
      <w:proofErr w:type="spellEnd"/>
      <w:r w:rsidRPr="005D0568">
        <w:rPr>
          <w:rFonts w:hAnsi="Calibri" w:cs="Calibri"/>
        </w:rPr>
        <w:t xml:space="preserve"> terug zouden kunnen vragen. De retributieregeling wordt uitgebreid beschreven in het Rapport Blaauwberg</w:t>
      </w:r>
      <w:r w:rsidRPr="005D0568">
        <w:rPr>
          <w:rFonts w:hAnsi="Calibri" w:cs="Calibri"/>
          <w:vertAlign w:val="superscript"/>
        </w:rPr>
        <w:footnoteReference w:id="6"/>
      </w:r>
      <w:r w:rsidRPr="005D0568">
        <w:rPr>
          <w:rFonts w:hAnsi="Calibri" w:cs="Calibri"/>
        </w:rPr>
        <w:t xml:space="preserve"> </w:t>
      </w:r>
      <w:r w:rsidR="008B353A">
        <w:rPr>
          <w:rFonts w:hAnsi="Calibri" w:cs="Calibri"/>
        </w:rPr>
        <w:t xml:space="preserve">en </w:t>
      </w:r>
      <w:r w:rsidRPr="005D0568">
        <w:rPr>
          <w:rFonts w:hAnsi="Calibri" w:cs="Calibri"/>
        </w:rPr>
        <w:t>laat zich het beste als volgt omschrijven:</w:t>
      </w:r>
    </w:p>
    <w:p w14:paraId="7F6218CA" w14:textId="77777777" w:rsidR="00CC5612" w:rsidRPr="005D0568" w:rsidRDefault="00CC5612" w:rsidP="00CC5612">
      <w:pPr>
        <w:pStyle w:val="Lijstalinea"/>
        <w:numPr>
          <w:ilvl w:val="3"/>
          <w:numId w:val="7"/>
        </w:numPr>
        <w:rPr>
          <w:rFonts w:hAnsi="Calibri" w:cs="Calibri"/>
        </w:rPr>
      </w:pPr>
      <w:r w:rsidRPr="005D0568">
        <w:rPr>
          <w:rFonts w:hAnsi="Calibri" w:cs="Calibri"/>
        </w:rPr>
        <w:t>Een agrarisch ondernemer/kernlid kan een verzoek doen bij de Stichting Ondernemersfonds SWF (de 'SOFSWF') tot restitutie van de OZB-verhoging…</w:t>
      </w:r>
    </w:p>
    <w:p w14:paraId="715DFDF5" w14:textId="77777777" w:rsidR="00CC5612" w:rsidRPr="005D0568" w:rsidRDefault="00CC5612" w:rsidP="00CC5612">
      <w:pPr>
        <w:pStyle w:val="Lijstalinea"/>
        <w:numPr>
          <w:ilvl w:val="3"/>
          <w:numId w:val="7"/>
        </w:numPr>
        <w:rPr>
          <w:rFonts w:hAnsi="Calibri" w:cs="Calibri"/>
        </w:rPr>
      </w:pPr>
      <w:r w:rsidRPr="005D0568">
        <w:rPr>
          <w:rFonts w:hAnsi="Calibri" w:cs="Calibri"/>
        </w:rPr>
        <w:t>…door een verzoek in te dienen en zijn OZB-aanslag toe te sturen aan de SOFSWF;</w:t>
      </w:r>
    </w:p>
    <w:p w14:paraId="3DE49485" w14:textId="77777777" w:rsidR="00CC5612" w:rsidRPr="005D0568" w:rsidRDefault="00CC5612" w:rsidP="00CC5612">
      <w:pPr>
        <w:pStyle w:val="Lijstalinea"/>
        <w:numPr>
          <w:ilvl w:val="3"/>
          <w:numId w:val="7"/>
        </w:numPr>
        <w:rPr>
          <w:rFonts w:hAnsi="Calibri" w:cs="Calibri"/>
        </w:rPr>
      </w:pPr>
      <w:r w:rsidRPr="005D0568">
        <w:rPr>
          <w:rFonts w:hAnsi="Calibri" w:cs="Calibri"/>
        </w:rPr>
        <w:t xml:space="preserve">De ondernemer krijgt te horen of hij zijn belasting wel of niet terugkrijgt van de SOFSWF. Het is onduidelijk hoe exact wordt vastgesteld hoe bepaald wordt welke ondernemer in aanmerking komt voor restitutie.  </w:t>
      </w:r>
    </w:p>
    <w:p w14:paraId="0522772E" w14:textId="77777777" w:rsidR="00CC5612" w:rsidRPr="005D0568" w:rsidRDefault="00CC5612" w:rsidP="00CC5612">
      <w:pPr>
        <w:pStyle w:val="Lijstalinea"/>
        <w:numPr>
          <w:ilvl w:val="1"/>
          <w:numId w:val="7"/>
        </w:numPr>
        <w:rPr>
          <w:rFonts w:hAnsi="Calibri" w:cs="Calibri"/>
        </w:rPr>
      </w:pPr>
      <w:r w:rsidRPr="005D0568">
        <w:rPr>
          <w:rFonts w:hAnsi="Calibri" w:cs="Calibri"/>
        </w:rPr>
        <w:t xml:space="preserve">De retributieregeling is op deze manier voorgesteld en ingevoerd in een poging om een aantal wettelijke beperkingen te kunnen omzeilen. </w:t>
      </w:r>
    </w:p>
    <w:p w14:paraId="1642D06B" w14:textId="20CFEF15" w:rsidR="00CC5612" w:rsidRDefault="00CC5612" w:rsidP="00CC5612">
      <w:pPr>
        <w:pStyle w:val="Lijstalinea"/>
        <w:numPr>
          <w:ilvl w:val="1"/>
          <w:numId w:val="7"/>
        </w:numPr>
        <w:rPr>
          <w:rFonts w:hAnsi="Calibri" w:cs="Calibri"/>
        </w:rPr>
      </w:pPr>
      <w:r w:rsidRPr="005D0568">
        <w:rPr>
          <w:rFonts w:hAnsi="Calibri" w:cs="Calibri"/>
        </w:rPr>
        <w:t>Het gelijkheidsbeginsel verbiedt het de (gemeentelijke) overheid om gelijke gevallen ongelijk te behandelen. Concreet gezien mag het gemeentebestuur dus niet de belastingtarieven voor niet-agrariërs verhogen, terwijl agrariërs het lage tarief blijven betalen. In dat geval worden agrariërs en niet-agrariërs ongelijk behandeld, hetgeen in strijd is met het gelijkheidsbeginsel.</w:t>
      </w:r>
    </w:p>
    <w:p w14:paraId="6413CCC6" w14:textId="7FF861CB" w:rsidR="008B353A" w:rsidRDefault="008B353A" w:rsidP="00CC5612">
      <w:pPr>
        <w:pStyle w:val="Lijstalinea"/>
        <w:numPr>
          <w:ilvl w:val="1"/>
          <w:numId w:val="7"/>
        </w:numPr>
        <w:rPr>
          <w:rFonts w:hAnsi="Calibri" w:cs="Calibri"/>
        </w:rPr>
      </w:pPr>
      <w:r>
        <w:rPr>
          <w:rFonts w:hAnsi="Calibri" w:cs="Calibri"/>
        </w:rPr>
        <w:t xml:space="preserve">Het verweer van het </w:t>
      </w:r>
      <w:proofErr w:type="spellStart"/>
      <w:r>
        <w:rPr>
          <w:rFonts w:hAnsi="Calibri" w:cs="Calibri"/>
        </w:rPr>
        <w:t>gemeentebstuur</w:t>
      </w:r>
      <w:proofErr w:type="spellEnd"/>
      <w:r>
        <w:rPr>
          <w:rFonts w:hAnsi="Calibri" w:cs="Calibri"/>
        </w:rPr>
        <w:t xml:space="preserve"> dat de SOFSWF zelfstandig handelt wanneer zij de retributieregeling toepast -en daarmee voldoende los zou staan van de gemeentelijke belastingheffing- gaat niet op. Zo ook oordeelde het gerechtshof:</w:t>
      </w:r>
    </w:p>
    <w:p w14:paraId="78247C74" w14:textId="77777777" w:rsidR="008B353A" w:rsidRDefault="008B353A" w:rsidP="008B353A">
      <w:pPr>
        <w:pStyle w:val="Lijstalinea"/>
        <w:numPr>
          <w:ilvl w:val="1"/>
          <w:numId w:val="7"/>
        </w:numPr>
        <w:rPr>
          <w:rFonts w:hAnsi="Calibri" w:cs="Calibri"/>
        </w:rPr>
      </w:pPr>
      <w:r>
        <w:rPr>
          <w:rFonts w:hAnsi="Calibri" w:cs="Calibri"/>
        </w:rPr>
        <w:lastRenderedPageBreak/>
        <w:t xml:space="preserve">In </w:t>
      </w:r>
      <w:proofErr w:type="spellStart"/>
      <w:r>
        <w:rPr>
          <w:rFonts w:hAnsi="Calibri" w:cs="Calibri"/>
        </w:rPr>
        <w:t>r.o.</w:t>
      </w:r>
      <w:proofErr w:type="spellEnd"/>
      <w:r>
        <w:rPr>
          <w:rFonts w:hAnsi="Calibri" w:cs="Calibri"/>
        </w:rPr>
        <w:t xml:space="preserve"> 6.2 oordeelt het Hof:</w:t>
      </w:r>
    </w:p>
    <w:p w14:paraId="566CC26A" w14:textId="457AAFBC" w:rsidR="008B353A" w:rsidRPr="008B353A" w:rsidRDefault="008B353A" w:rsidP="008B353A">
      <w:pPr>
        <w:pStyle w:val="Lijstalinea"/>
        <w:ind w:left="907"/>
        <w:rPr>
          <w:rFonts w:hAnsi="Calibri" w:cs="Calibri"/>
          <w:i/>
          <w:iCs/>
        </w:rPr>
      </w:pPr>
      <w:r>
        <w:rPr>
          <w:rFonts w:hAnsi="Calibri" w:cs="Calibri"/>
          <w:i/>
          <w:iCs/>
        </w:rPr>
        <w:t>'</w:t>
      </w:r>
      <w:r w:rsidRPr="008B353A">
        <w:rPr>
          <w:rFonts w:hAnsi="Calibri" w:cs="Calibri"/>
          <w:i/>
          <w:iCs/>
        </w:rPr>
        <w:t xml:space="preserve">Naar het oordeel van het Hof wordt deze in de wet in formele zin neergelegde </w:t>
      </w:r>
      <w:proofErr w:type="spellStart"/>
      <w:r w:rsidRPr="008B353A">
        <w:rPr>
          <w:rFonts w:hAnsi="Calibri" w:cs="Calibri"/>
          <w:i/>
          <w:iCs/>
        </w:rPr>
        <w:t>beper</w:t>
      </w:r>
      <w:proofErr w:type="spellEnd"/>
      <w:r w:rsidRPr="008B353A">
        <w:rPr>
          <w:rFonts w:hAnsi="Calibri" w:cs="Calibri"/>
          <w:i/>
          <w:iCs/>
        </w:rPr>
        <w:t xml:space="preserve">- </w:t>
      </w:r>
      <w:proofErr w:type="spellStart"/>
      <w:r w:rsidRPr="008B353A">
        <w:rPr>
          <w:rFonts w:hAnsi="Calibri" w:cs="Calibri"/>
          <w:i/>
          <w:iCs/>
        </w:rPr>
        <w:t>king</w:t>
      </w:r>
      <w:proofErr w:type="spellEnd"/>
      <w:r w:rsidRPr="008B353A">
        <w:rPr>
          <w:rFonts w:hAnsi="Calibri" w:cs="Calibri"/>
          <w:i/>
          <w:iCs/>
        </w:rPr>
        <w:t xml:space="preserve"> van de bevoegdheid tot verdergaande differentiatie van de OZB-tarieven niet alleen geschonden indien de wetgever in </w:t>
      </w:r>
      <w:proofErr w:type="spellStart"/>
      <w:r w:rsidRPr="008B353A">
        <w:rPr>
          <w:rFonts w:hAnsi="Calibri" w:cs="Calibri"/>
          <w:i/>
          <w:iCs/>
        </w:rPr>
        <w:t>materie</w:t>
      </w:r>
      <w:r w:rsidRPr="008B353A">
        <w:rPr>
          <w:rFonts w:ascii="Arial" w:hAnsi="Arial" w:cs="Arial"/>
          <w:i/>
          <w:iCs/>
        </w:rPr>
        <w:t>̈</w:t>
      </w:r>
      <w:r w:rsidRPr="008B353A">
        <w:rPr>
          <w:rFonts w:hAnsi="Calibri" w:cs="Calibri"/>
          <w:i/>
          <w:iCs/>
        </w:rPr>
        <w:t>le</w:t>
      </w:r>
      <w:proofErr w:type="spellEnd"/>
      <w:r w:rsidRPr="008B353A">
        <w:rPr>
          <w:rFonts w:hAnsi="Calibri" w:cs="Calibri"/>
          <w:i/>
          <w:iCs/>
        </w:rPr>
        <w:t xml:space="preserve"> zin - hier: de gemeenteraad - een verdergaande differentiatie van de OZB-tarieven dan wettelijk is toegestaan in een belastingverordening — hier: de Verordening op de </w:t>
      </w:r>
      <w:proofErr w:type="spellStart"/>
      <w:r w:rsidRPr="008B353A">
        <w:rPr>
          <w:rFonts w:hAnsi="Calibri" w:cs="Calibri"/>
          <w:i/>
          <w:iCs/>
        </w:rPr>
        <w:t>onroerende-zaakbelastingen</w:t>
      </w:r>
      <w:proofErr w:type="spellEnd"/>
      <w:r w:rsidRPr="008B353A">
        <w:rPr>
          <w:rFonts w:hAnsi="Calibri" w:cs="Calibri"/>
          <w:i/>
          <w:iCs/>
        </w:rPr>
        <w:t xml:space="preserve"> 2017 (de Verordening) - regelt, maar ook indien hij met een omweg, buiten de Verordening om, algemeen verbindende voor- schriften vaststelt of andere besluiten neemt die er (mede) op gericht zijn voorbij te gaan aan de wettelijke beperking van de bevoegdheid tot verdergaande differentiatie van de OZB- tarieven. Doel en strekking van de wet zouden worden miskend indien de gevolgen van het met een omweg voorbijgaan aan de beperking van de bevoegdheid tot verdergaande differentiatie van de OZB-tarieven in stand zouden worden gelaten.</w:t>
      </w:r>
      <w:r>
        <w:rPr>
          <w:rFonts w:hAnsi="Calibri" w:cs="Calibri"/>
          <w:i/>
          <w:iCs/>
        </w:rPr>
        <w:t>'</w:t>
      </w:r>
    </w:p>
    <w:p w14:paraId="03375BF3" w14:textId="2CA04C19" w:rsidR="00AA3132" w:rsidRPr="005D0568" w:rsidRDefault="00AA3132" w:rsidP="00374FFC">
      <w:pPr>
        <w:pStyle w:val="Lijstalinea"/>
        <w:numPr>
          <w:ilvl w:val="1"/>
          <w:numId w:val="7"/>
        </w:numPr>
        <w:ind w:right="369"/>
        <w:rPr>
          <w:rFonts w:hAnsi="Calibri" w:cs="Calibri"/>
        </w:rPr>
      </w:pPr>
      <w:r w:rsidRPr="005D0568">
        <w:rPr>
          <w:rFonts w:hAnsi="Calibri" w:cs="Calibri"/>
        </w:rPr>
        <w:t xml:space="preserve">Op grond van het vorenstaande stel ik derhalve dat het gemeentebestuur/de gemeentelijke wetgever, bij de besluitvorming tot de instelling van het </w:t>
      </w:r>
      <w:proofErr w:type="spellStart"/>
      <w:r w:rsidRPr="005D0568">
        <w:rPr>
          <w:rFonts w:hAnsi="Calibri" w:cs="Calibri"/>
        </w:rPr>
        <w:t>ondernemersfonds</w:t>
      </w:r>
      <w:proofErr w:type="spellEnd"/>
      <w:r w:rsidRPr="005D0568">
        <w:rPr>
          <w:rFonts w:hAnsi="Calibri" w:cs="Calibri"/>
        </w:rPr>
        <w:t xml:space="preserve"> en het daartoe verhogen van de OZB-tarieven voor niet woningen:</w:t>
      </w:r>
    </w:p>
    <w:p w14:paraId="594D3621" w14:textId="2DADDFF1" w:rsidR="00AA3132" w:rsidRPr="005D0568" w:rsidRDefault="00AA3132" w:rsidP="00AA3132">
      <w:pPr>
        <w:pStyle w:val="Lijstalinea"/>
        <w:numPr>
          <w:ilvl w:val="3"/>
          <w:numId w:val="7"/>
        </w:numPr>
        <w:ind w:right="369"/>
        <w:rPr>
          <w:rFonts w:hAnsi="Calibri" w:cs="Calibri"/>
        </w:rPr>
      </w:pPr>
      <w:r w:rsidRPr="005D0568">
        <w:rPr>
          <w:rFonts w:hAnsi="Calibri" w:cs="Calibri"/>
        </w:rPr>
        <w:t>De in de wet in formele zin</w:t>
      </w:r>
      <w:r w:rsidR="0078502B" w:rsidRPr="005D0568">
        <w:rPr>
          <w:rStyle w:val="Voetnootmarkering"/>
          <w:rFonts w:hAnsi="Calibri" w:cs="Calibri"/>
        </w:rPr>
        <w:footnoteReference w:id="7"/>
      </w:r>
      <w:r w:rsidRPr="005D0568">
        <w:rPr>
          <w:rFonts w:hAnsi="Calibri" w:cs="Calibri"/>
        </w:rPr>
        <w:t xml:space="preserve"> neergelegde beperking van de bevoegdheid tot verdergaande differentiatie van de OZB-tarieven heeft geschonden; </w:t>
      </w:r>
    </w:p>
    <w:p w14:paraId="70C6104E" w14:textId="77777777" w:rsidR="006E733C" w:rsidRPr="005D0568" w:rsidRDefault="00AA3132" w:rsidP="00AA3132">
      <w:pPr>
        <w:pStyle w:val="Lijstalinea"/>
        <w:numPr>
          <w:ilvl w:val="3"/>
          <w:numId w:val="7"/>
        </w:numPr>
        <w:ind w:right="369"/>
        <w:rPr>
          <w:rFonts w:hAnsi="Calibri" w:cs="Calibri"/>
        </w:rPr>
      </w:pPr>
      <w:r w:rsidRPr="005D0568">
        <w:rPr>
          <w:rFonts w:hAnsi="Calibri" w:cs="Calibri"/>
        </w:rPr>
        <w:t xml:space="preserve">de gemeentelijke wetgever met een omweg, buiten de Verordening om, algemeen verbindende voorschriften </w:t>
      </w:r>
      <w:r w:rsidR="006E733C" w:rsidRPr="005D0568">
        <w:rPr>
          <w:rFonts w:hAnsi="Calibri" w:cs="Calibri"/>
        </w:rPr>
        <w:t>vast heeft gesteld</w:t>
      </w:r>
      <w:r w:rsidRPr="005D0568">
        <w:rPr>
          <w:rFonts w:hAnsi="Calibri" w:cs="Calibri"/>
        </w:rPr>
        <w:t xml:space="preserve"> of andere besluiten </w:t>
      </w:r>
      <w:r w:rsidR="006E733C" w:rsidRPr="005D0568">
        <w:rPr>
          <w:rFonts w:hAnsi="Calibri" w:cs="Calibri"/>
        </w:rPr>
        <w:t>heeft genomen</w:t>
      </w:r>
      <w:r w:rsidRPr="005D0568">
        <w:rPr>
          <w:rFonts w:hAnsi="Calibri" w:cs="Calibri"/>
        </w:rPr>
        <w:t xml:space="preserve"> die er (mede) op gericht zijn voorbij te gaan aan de wettelijke beperking van de bevoegdheid tot verdergaande differentiatie van de OZB-tarieven</w:t>
      </w:r>
      <w:r w:rsidR="006E733C" w:rsidRPr="005D0568">
        <w:rPr>
          <w:rFonts w:hAnsi="Calibri" w:cs="Calibri"/>
        </w:rPr>
        <w:t>;</w:t>
      </w:r>
    </w:p>
    <w:p w14:paraId="75745F44" w14:textId="1FB910BF" w:rsidR="00CC5612" w:rsidRPr="005D0568" w:rsidRDefault="00CC5612" w:rsidP="00AA3132">
      <w:pPr>
        <w:pStyle w:val="Lijstalinea"/>
        <w:numPr>
          <w:ilvl w:val="3"/>
          <w:numId w:val="7"/>
        </w:numPr>
        <w:ind w:right="369"/>
        <w:rPr>
          <w:rFonts w:hAnsi="Calibri" w:cs="Calibri"/>
        </w:rPr>
      </w:pPr>
      <w:r w:rsidRPr="005D0568">
        <w:rPr>
          <w:rFonts w:hAnsi="Calibri" w:cs="Calibri"/>
        </w:rPr>
        <w:t>d</w:t>
      </w:r>
      <w:r w:rsidR="006E733C" w:rsidRPr="005D0568">
        <w:rPr>
          <w:rFonts w:hAnsi="Calibri" w:cs="Calibri"/>
        </w:rPr>
        <w:t>at het d</w:t>
      </w:r>
      <w:r w:rsidR="00AA3132" w:rsidRPr="005D0568">
        <w:rPr>
          <w:rFonts w:hAnsi="Calibri" w:cs="Calibri"/>
        </w:rPr>
        <w:t xml:space="preserve">oel en </w:t>
      </w:r>
      <w:r w:rsidR="006E733C" w:rsidRPr="005D0568">
        <w:rPr>
          <w:rFonts w:hAnsi="Calibri" w:cs="Calibri"/>
        </w:rPr>
        <w:t xml:space="preserve">de </w:t>
      </w:r>
      <w:r w:rsidR="00AA3132" w:rsidRPr="005D0568">
        <w:rPr>
          <w:rFonts w:hAnsi="Calibri" w:cs="Calibri"/>
        </w:rPr>
        <w:t xml:space="preserve">strekking van de wet zouden worden miskend indien de gevolgen van het met een omweg voorbijgaan aan de beperking van de bevoegdheid tot verdergaande differentiatie van de OZB-tarieven in stand zouden worden gelaten. </w:t>
      </w:r>
    </w:p>
    <w:p w14:paraId="72C2B43F" w14:textId="77777777" w:rsidR="0078502B" w:rsidRPr="005D0568" w:rsidRDefault="008C7D83" w:rsidP="0078502B">
      <w:pPr>
        <w:pStyle w:val="Lijstalinea"/>
        <w:numPr>
          <w:ilvl w:val="3"/>
          <w:numId w:val="7"/>
        </w:numPr>
        <w:ind w:right="369"/>
        <w:rPr>
          <w:rFonts w:hAnsi="Calibri" w:cs="Calibri"/>
        </w:rPr>
      </w:pPr>
      <w:r w:rsidRPr="005D0568">
        <w:rPr>
          <w:rFonts w:hAnsi="Calibri" w:cs="Calibri"/>
        </w:rPr>
        <w:t xml:space="preserve">door de invoering van </w:t>
      </w:r>
      <w:r w:rsidR="00CC5612" w:rsidRPr="005D0568">
        <w:rPr>
          <w:rFonts w:hAnsi="Calibri" w:cs="Calibri"/>
        </w:rPr>
        <w:t xml:space="preserve">de retributieregeling </w:t>
      </w:r>
      <w:r w:rsidRPr="005D0568">
        <w:rPr>
          <w:rFonts w:hAnsi="Calibri" w:cs="Calibri"/>
        </w:rPr>
        <w:t>een situatie heeft doen ontstaan die strijdig is met het gelijkheidsbeginsel.</w:t>
      </w:r>
    </w:p>
    <w:p w14:paraId="5504525E" w14:textId="54BCC35D" w:rsidR="0078502B" w:rsidRPr="005D0568" w:rsidRDefault="00A301B9" w:rsidP="0078502B">
      <w:pPr>
        <w:pStyle w:val="Lijstalinea"/>
        <w:numPr>
          <w:ilvl w:val="0"/>
          <w:numId w:val="7"/>
        </w:numPr>
        <w:tabs>
          <w:tab w:val="clear" w:pos="907"/>
        </w:tabs>
        <w:ind w:left="812" w:right="369" w:hanging="812"/>
        <w:rPr>
          <w:rFonts w:hAnsi="Calibri" w:cs="Calibri"/>
        </w:rPr>
      </w:pPr>
      <w:r w:rsidRPr="005D0568">
        <w:rPr>
          <w:rFonts w:hAnsi="Calibri" w:cs="Arial"/>
          <w:b/>
        </w:rPr>
        <w:t>Conclus</w:t>
      </w:r>
      <w:r w:rsidR="005925E6" w:rsidRPr="005D0568">
        <w:rPr>
          <w:rFonts w:hAnsi="Calibri" w:cs="Arial"/>
          <w:b/>
        </w:rPr>
        <w:t>i</w:t>
      </w:r>
      <w:r w:rsidRPr="005D0568">
        <w:rPr>
          <w:rFonts w:hAnsi="Calibri" w:cs="Arial"/>
          <w:b/>
        </w:rPr>
        <w:t>e</w:t>
      </w:r>
    </w:p>
    <w:p w14:paraId="179D32C9" w14:textId="77777777" w:rsidR="0078502B" w:rsidRPr="005D0568" w:rsidRDefault="00A301B9" w:rsidP="0078502B">
      <w:pPr>
        <w:pStyle w:val="Lijstalinea"/>
        <w:numPr>
          <w:ilvl w:val="1"/>
          <w:numId w:val="7"/>
        </w:numPr>
        <w:tabs>
          <w:tab w:val="clear" w:pos="907"/>
        </w:tabs>
        <w:ind w:right="369"/>
        <w:rPr>
          <w:rFonts w:hAnsi="Calibri" w:cs="Calibri"/>
        </w:rPr>
      </w:pPr>
      <w:r w:rsidRPr="005D0568">
        <w:rPr>
          <w:rFonts w:hAnsi="Calibri" w:cs="Arial"/>
        </w:rPr>
        <w:t xml:space="preserve">De tariefstelling OZB 2016 en later is verhoogd onder de onlosmakelijke voorwaarde dat een deel van de </w:t>
      </w:r>
      <w:proofErr w:type="spellStart"/>
      <w:r w:rsidRPr="005D0568">
        <w:rPr>
          <w:rFonts w:hAnsi="Calibri" w:cs="Arial"/>
        </w:rPr>
        <w:t>aangeslagenen</w:t>
      </w:r>
      <w:proofErr w:type="spellEnd"/>
      <w:r w:rsidR="0078502B" w:rsidRPr="005D0568">
        <w:rPr>
          <w:rFonts w:hAnsi="Calibri" w:cs="Arial"/>
        </w:rPr>
        <w:t xml:space="preserve"> (de agrariërs)</w:t>
      </w:r>
      <w:r w:rsidRPr="005D0568">
        <w:rPr>
          <w:rFonts w:hAnsi="Calibri" w:cs="Arial"/>
        </w:rPr>
        <w:t xml:space="preserve"> een deel van hun aanslag vergoed zouden krijgen door middel van de retributieregeling. Beoogd is dat bepaalde subjecten een gedeelte van hun OZB-aanslag terug zouden ontvangen. </w:t>
      </w:r>
    </w:p>
    <w:p w14:paraId="68F59E27" w14:textId="77777777" w:rsidR="0078502B" w:rsidRPr="005D0568" w:rsidRDefault="00A301B9" w:rsidP="0078502B">
      <w:pPr>
        <w:pStyle w:val="Lijstalinea"/>
        <w:numPr>
          <w:ilvl w:val="1"/>
          <w:numId w:val="7"/>
        </w:numPr>
        <w:tabs>
          <w:tab w:val="clear" w:pos="907"/>
        </w:tabs>
        <w:ind w:right="369"/>
        <w:rPr>
          <w:rFonts w:hAnsi="Calibri" w:cs="Calibri"/>
        </w:rPr>
      </w:pPr>
      <w:r w:rsidRPr="005D0568">
        <w:rPr>
          <w:rFonts w:hAnsi="Calibri" w:cs="Arial"/>
        </w:rPr>
        <w:t>Daarmee is er sprake van</w:t>
      </w:r>
      <w:r w:rsidR="0078502B" w:rsidRPr="005D0568">
        <w:rPr>
          <w:rFonts w:hAnsi="Calibri" w:cs="Arial"/>
        </w:rPr>
        <w:t>:</w:t>
      </w:r>
    </w:p>
    <w:p w14:paraId="3E0652F6" w14:textId="05961B48"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lastRenderedPageBreak/>
        <w:t>Een ontoelaatbare differentiatie van de OZB-tarieven, die in strijd is met art. 220 e.v. van de Gemeentewet;</w:t>
      </w:r>
    </w:p>
    <w:p w14:paraId="221218AB" w14:textId="77777777"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 xml:space="preserve">Een </w:t>
      </w:r>
      <w:r w:rsidR="00A301B9" w:rsidRPr="005D0568">
        <w:rPr>
          <w:rFonts w:hAnsi="Calibri" w:cs="Arial"/>
        </w:rPr>
        <w:t>schending van het gelijkheidsbeginsel</w:t>
      </w:r>
      <w:r w:rsidRPr="005D0568">
        <w:rPr>
          <w:rFonts w:hAnsi="Calibri" w:cs="Arial"/>
        </w:rPr>
        <w:t xml:space="preserve"> en;</w:t>
      </w:r>
    </w:p>
    <w:p w14:paraId="1B4C1EBD" w14:textId="77777777" w:rsidR="0078502B" w:rsidRPr="005D0568" w:rsidRDefault="00A301B9" w:rsidP="0078502B">
      <w:pPr>
        <w:pStyle w:val="Lijstalinea"/>
        <w:numPr>
          <w:ilvl w:val="3"/>
          <w:numId w:val="7"/>
        </w:numPr>
        <w:tabs>
          <w:tab w:val="clear" w:pos="907"/>
        </w:tabs>
        <w:ind w:right="369"/>
        <w:rPr>
          <w:rFonts w:hAnsi="Calibri" w:cs="Calibri"/>
        </w:rPr>
      </w:pPr>
      <w:r w:rsidRPr="005D0568">
        <w:rPr>
          <w:rFonts w:hAnsi="Calibri" w:cs="Arial"/>
        </w:rPr>
        <w:t>van onredelijke en willekeurige belastingheffing;</w:t>
      </w:r>
    </w:p>
    <w:p w14:paraId="45CC3245" w14:textId="77777777"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Het gemeentebestuur heeft</w:t>
      </w:r>
      <w:r w:rsidR="00A301B9" w:rsidRPr="005D0568">
        <w:rPr>
          <w:rFonts w:hAnsi="Calibri" w:cs="Arial"/>
        </w:rPr>
        <w:t xml:space="preserve">, zowel bij de totstandkoming van het </w:t>
      </w:r>
      <w:proofErr w:type="spellStart"/>
      <w:r w:rsidRPr="005D0568">
        <w:rPr>
          <w:rFonts w:hAnsi="Calibri" w:cs="Arial"/>
        </w:rPr>
        <w:t>ondernemersfonds</w:t>
      </w:r>
      <w:proofErr w:type="spellEnd"/>
      <w:r w:rsidR="00A301B9" w:rsidRPr="005D0568">
        <w:rPr>
          <w:rFonts w:hAnsi="Calibri" w:cs="Arial"/>
        </w:rPr>
        <w:t>, alsmede bij het helpen</w:t>
      </w:r>
      <w:r w:rsidRPr="005D0568">
        <w:rPr>
          <w:rFonts w:hAnsi="Calibri" w:cs="Arial"/>
        </w:rPr>
        <w:t>/laten</w:t>
      </w:r>
      <w:r w:rsidR="00A301B9" w:rsidRPr="005D0568">
        <w:rPr>
          <w:rFonts w:hAnsi="Calibri" w:cs="Arial"/>
        </w:rPr>
        <w:t xml:space="preserve"> uitvoeren van de retributieregeling gehandeld </w:t>
      </w:r>
      <w:r w:rsidRPr="005D0568">
        <w:rPr>
          <w:rFonts w:hAnsi="Calibri" w:cs="Arial"/>
        </w:rPr>
        <w:t xml:space="preserve">en handelt nog steeds </w:t>
      </w:r>
      <w:r w:rsidR="00A301B9" w:rsidRPr="005D0568">
        <w:rPr>
          <w:rFonts w:hAnsi="Calibri" w:cs="Arial"/>
        </w:rPr>
        <w:t xml:space="preserve">in strijd met de algemene beginselen van behoorlijk bestuur. </w:t>
      </w:r>
    </w:p>
    <w:p w14:paraId="3756808D" w14:textId="77777777" w:rsidR="0078502B" w:rsidRPr="005D0568" w:rsidRDefault="0078502B" w:rsidP="0078502B">
      <w:pPr>
        <w:pStyle w:val="Lijstalinea"/>
        <w:numPr>
          <w:ilvl w:val="1"/>
          <w:numId w:val="7"/>
        </w:numPr>
        <w:tabs>
          <w:tab w:val="clear" w:pos="907"/>
        </w:tabs>
        <w:ind w:right="369"/>
        <w:rPr>
          <w:rFonts w:hAnsi="Calibri" w:cs="Calibri"/>
        </w:rPr>
      </w:pPr>
      <w:r w:rsidRPr="005D0568">
        <w:rPr>
          <w:rFonts w:hAnsi="Calibri" w:cs="Arial"/>
        </w:rPr>
        <w:t>Ik verzoek u om:</w:t>
      </w:r>
    </w:p>
    <w:p w14:paraId="05B93169" w14:textId="77777777"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dit bezwaar ontvankelijk en gegrond te verklaren</w:t>
      </w:r>
    </w:p>
    <w:p w14:paraId="25E066ED" w14:textId="03F23C0B"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de Verordening 202</w:t>
      </w:r>
      <w:r w:rsidR="002B2FA3">
        <w:rPr>
          <w:rFonts w:hAnsi="Calibri" w:cs="Arial"/>
        </w:rPr>
        <w:t>2</w:t>
      </w:r>
      <w:r w:rsidRPr="005D0568">
        <w:rPr>
          <w:rFonts w:hAnsi="Calibri" w:cs="Arial"/>
        </w:rPr>
        <w:t xml:space="preserve"> onverbindend te verklaren</w:t>
      </w:r>
    </w:p>
    <w:p w14:paraId="2900CB0A" w14:textId="6950FE55" w:rsidR="0078502B"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de Aan</w:t>
      </w:r>
      <w:r w:rsidR="005925E6" w:rsidRPr="005D0568">
        <w:rPr>
          <w:rFonts w:hAnsi="Calibri" w:cs="Arial"/>
        </w:rPr>
        <w:t>sla</w:t>
      </w:r>
      <w:r w:rsidRPr="005D0568">
        <w:rPr>
          <w:rFonts w:hAnsi="Calibri" w:cs="Arial"/>
        </w:rPr>
        <w:t xml:space="preserve">g te vernietigen en aan mij een nieuwe aanslag op te leggen die gebaseerd is op de tariefstellingen zoals deze waren voordat uw gemeentebestuur besloot de tarieven te verhogen t.b.v. de financiering van het </w:t>
      </w:r>
      <w:proofErr w:type="spellStart"/>
      <w:r w:rsidRPr="005D0568">
        <w:rPr>
          <w:rFonts w:hAnsi="Calibri" w:cs="Arial"/>
        </w:rPr>
        <w:t>onderdemersfonds</w:t>
      </w:r>
      <w:proofErr w:type="spellEnd"/>
      <w:r w:rsidRPr="005D0568">
        <w:rPr>
          <w:rFonts w:hAnsi="Calibri" w:cs="Arial"/>
        </w:rPr>
        <w:t xml:space="preserve"> (in </w:t>
      </w:r>
      <w:proofErr w:type="spellStart"/>
      <w:r w:rsidRPr="005D0568">
        <w:rPr>
          <w:rFonts w:hAnsi="Calibri" w:cs="Arial"/>
        </w:rPr>
        <w:t>casu</w:t>
      </w:r>
      <w:proofErr w:type="spellEnd"/>
      <w:r w:rsidRPr="005D0568">
        <w:rPr>
          <w:rFonts w:hAnsi="Calibri" w:cs="Arial"/>
        </w:rPr>
        <w:t xml:space="preserve"> de </w:t>
      </w:r>
      <w:r w:rsidRPr="005D0568">
        <w:rPr>
          <w:rFonts w:hAnsi="Calibri" w:cs="Arial"/>
          <w:i/>
          <w:iCs/>
        </w:rPr>
        <w:t xml:space="preserve">Verordening op de heffing en invordering van </w:t>
      </w:r>
      <w:proofErr w:type="spellStart"/>
      <w:r w:rsidRPr="005D0568">
        <w:rPr>
          <w:rFonts w:hAnsi="Calibri" w:cs="Arial"/>
          <w:i/>
          <w:iCs/>
        </w:rPr>
        <w:t>onroerende-zaakbelastingen</w:t>
      </w:r>
      <w:proofErr w:type="spellEnd"/>
      <w:r w:rsidRPr="005D0568">
        <w:rPr>
          <w:rFonts w:hAnsi="Calibri" w:cs="Arial"/>
          <w:i/>
          <w:iCs/>
        </w:rPr>
        <w:t xml:space="preserve"> 2015)</w:t>
      </w:r>
      <w:r w:rsidRPr="005D0568">
        <w:rPr>
          <w:rFonts w:hAnsi="Calibri" w:cs="Arial"/>
        </w:rPr>
        <w:t>.</w:t>
      </w:r>
    </w:p>
    <w:p w14:paraId="2B61CB03" w14:textId="56C0EC6E" w:rsidR="00A301B9" w:rsidRPr="005D0568" w:rsidRDefault="0078502B" w:rsidP="0078502B">
      <w:pPr>
        <w:pStyle w:val="Lijstalinea"/>
        <w:numPr>
          <w:ilvl w:val="3"/>
          <w:numId w:val="7"/>
        </w:numPr>
        <w:tabs>
          <w:tab w:val="clear" w:pos="907"/>
        </w:tabs>
        <w:ind w:right="369"/>
        <w:rPr>
          <w:rFonts w:hAnsi="Calibri" w:cs="Calibri"/>
        </w:rPr>
      </w:pPr>
      <w:r w:rsidRPr="005D0568">
        <w:rPr>
          <w:rFonts w:hAnsi="Calibri" w:cs="Arial"/>
        </w:rPr>
        <w:t>De kosten van deze procedure aan mij te vergoeden.</w:t>
      </w:r>
    </w:p>
    <w:p w14:paraId="423B141F" w14:textId="49442C77" w:rsidR="005D0568" w:rsidRDefault="005D0568" w:rsidP="005D0568">
      <w:pPr>
        <w:ind w:right="369"/>
        <w:rPr>
          <w:rFonts w:hAnsi="Calibri" w:cs="Calibri"/>
        </w:rPr>
      </w:pPr>
      <w:r>
        <w:rPr>
          <w:rFonts w:hAnsi="Calibri" w:cs="Calibri"/>
        </w:rPr>
        <w:t>Met vriendelijke groet,</w:t>
      </w:r>
    </w:p>
    <w:p w14:paraId="576AB050" w14:textId="79FF7B62" w:rsidR="005D0568" w:rsidRDefault="005D0568" w:rsidP="005D0568">
      <w:pPr>
        <w:ind w:right="369"/>
        <w:rPr>
          <w:rFonts w:hAnsi="Calibri" w:cs="Calibri"/>
        </w:rPr>
      </w:pPr>
      <w:r>
        <w:rPr>
          <w:rFonts w:hAnsi="Calibri" w:cs="Calibri"/>
        </w:rPr>
        <w:t>[BEDRIJFSNAAM]</w:t>
      </w:r>
    </w:p>
    <w:p w14:paraId="592D6565" w14:textId="08BD156F" w:rsidR="005D0568" w:rsidRDefault="002858F4" w:rsidP="005D0568">
      <w:pPr>
        <w:ind w:right="369"/>
        <w:rPr>
          <w:rFonts w:hAnsi="Calibri" w:cs="Calibri"/>
        </w:rPr>
      </w:pPr>
      <w:r>
        <w:rPr>
          <w:rFonts w:hAnsi="Calibri" w:cs="Calibri"/>
        </w:rPr>
        <w:t xml:space="preserve">[ </w:t>
      </w:r>
      <w:r w:rsidR="005D0568">
        <w:rPr>
          <w:rFonts w:hAnsi="Calibri" w:cs="Calibri"/>
        </w:rPr>
        <w:t>Handtekening</w:t>
      </w:r>
      <w:r>
        <w:rPr>
          <w:rFonts w:hAnsi="Calibri" w:cs="Calibri"/>
        </w:rPr>
        <w:t xml:space="preserve"> }</w:t>
      </w:r>
    </w:p>
    <w:p w14:paraId="29979FEE" w14:textId="21196E2C" w:rsidR="002858F4" w:rsidRDefault="002858F4" w:rsidP="005D0568">
      <w:pPr>
        <w:ind w:right="369"/>
        <w:rPr>
          <w:rFonts w:hAnsi="Calibri" w:cs="Calibri"/>
        </w:rPr>
      </w:pPr>
      <w:r>
        <w:rPr>
          <w:rFonts w:hAnsi="Calibri" w:cs="Calibri"/>
        </w:rPr>
        <w:t>[naam]</w:t>
      </w:r>
    </w:p>
    <w:p w14:paraId="67A4468E" w14:textId="50D291F2" w:rsidR="002858F4" w:rsidRDefault="002858F4" w:rsidP="005D0568">
      <w:pPr>
        <w:ind w:right="369"/>
        <w:rPr>
          <w:rFonts w:hAnsi="Calibri" w:cs="Calibri"/>
        </w:rPr>
      </w:pPr>
      <w:r>
        <w:rPr>
          <w:rFonts w:hAnsi="Calibri" w:cs="Calibri"/>
        </w:rPr>
        <w:t>[adres]</w:t>
      </w:r>
    </w:p>
    <w:p w14:paraId="3935CB81" w14:textId="3096932E" w:rsidR="002858F4" w:rsidRDefault="002858F4" w:rsidP="005D0568">
      <w:pPr>
        <w:ind w:right="369"/>
        <w:rPr>
          <w:rFonts w:hAnsi="Calibri" w:cs="Calibri"/>
        </w:rPr>
      </w:pPr>
      <w:r>
        <w:rPr>
          <w:rFonts w:hAnsi="Calibri" w:cs="Calibri"/>
        </w:rPr>
        <w:t>[woonplaats]</w:t>
      </w:r>
    </w:p>
    <w:p w14:paraId="1B99069B" w14:textId="2AEFCD0F" w:rsidR="002858F4" w:rsidRDefault="002858F4" w:rsidP="005D0568">
      <w:pPr>
        <w:ind w:right="369"/>
        <w:rPr>
          <w:rFonts w:hAnsi="Calibri" w:cs="Calibri"/>
        </w:rPr>
      </w:pPr>
    </w:p>
    <w:p w14:paraId="02C6062D" w14:textId="6780B65E" w:rsidR="00A301B9" w:rsidRPr="007E4EAE" w:rsidRDefault="008B0CA8" w:rsidP="007E4EAE">
      <w:pPr>
        <w:ind w:right="369"/>
        <w:rPr>
          <w:rFonts w:hAnsi="Calibri" w:cs="Calibri"/>
        </w:rPr>
      </w:pPr>
      <w:r>
        <w:rPr>
          <w:rFonts w:hAnsi="Calibri" w:cs="Calibri"/>
        </w:rPr>
        <w:t xml:space="preserve">Nota Bene: ter voorkoming van de verspilling van papier, heb </w:t>
      </w:r>
      <w:r w:rsidR="007E4EAE">
        <w:rPr>
          <w:rFonts w:hAnsi="Calibri" w:cs="Calibri"/>
        </w:rPr>
        <w:t>ik</w:t>
      </w:r>
      <w:r>
        <w:rPr>
          <w:rFonts w:hAnsi="Calibri" w:cs="Calibri"/>
        </w:rPr>
        <w:t xml:space="preserve"> gemeend te verwijzen naar de bij u bekend veronderstelde documenten</w:t>
      </w:r>
      <w:r w:rsidR="004F39FD">
        <w:rPr>
          <w:rFonts w:hAnsi="Calibri" w:cs="Calibri"/>
        </w:rPr>
        <w:t xml:space="preserve">. </w:t>
      </w:r>
      <w:r w:rsidR="007E4EAE">
        <w:rPr>
          <w:rFonts w:hAnsi="Calibri" w:cs="Calibri"/>
        </w:rPr>
        <w:t>Mocht u desalniettemin oordelen dat dit bezwaarschift onvolledig is, dan verzoek ik u om mij in de gelegenheid te stellen dit bezwaarschrift aan te vullen</w:t>
      </w:r>
      <w:r w:rsidR="00443C4E">
        <w:rPr>
          <w:rFonts w:hAnsi="Calibri" w:cs="Calibri"/>
        </w:rPr>
        <w:t xml:space="preserve"> en om mij daar</w:t>
      </w:r>
      <w:r w:rsidR="001A03CC">
        <w:rPr>
          <w:rFonts w:hAnsi="Calibri" w:cs="Calibri"/>
        </w:rPr>
        <w:t>t</w:t>
      </w:r>
      <w:r w:rsidR="00443C4E">
        <w:rPr>
          <w:rFonts w:hAnsi="Calibri" w:cs="Calibri"/>
        </w:rPr>
        <w:t>oe een termijn te geven.</w:t>
      </w:r>
    </w:p>
    <w:sectPr w:rsidR="00A301B9" w:rsidRPr="007E4EAE" w:rsidSect="003975C5">
      <w:footerReference w:type="even" r:id="rId8"/>
      <w:footerReference w:type="default" r:id="rId9"/>
      <w:pgSz w:w="11906" w:h="16838" w:code="9"/>
      <w:pgMar w:top="1985" w:right="1985" w:bottom="1276" w:left="1151"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11C4" w14:textId="77777777" w:rsidR="00A837E8" w:rsidRDefault="00A837E8">
      <w:r>
        <w:separator/>
      </w:r>
    </w:p>
  </w:endnote>
  <w:endnote w:type="continuationSeparator" w:id="0">
    <w:p w14:paraId="2BC9751E" w14:textId="77777777" w:rsidR="00A837E8" w:rsidRDefault="00A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Slab 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altName w:val="Calibri"/>
    <w:panose1 w:val="020F07020304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Roboto Slab">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BC45" w14:textId="77777777" w:rsidR="00E664B3" w:rsidRDefault="00E664B3" w:rsidP="000B0C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8E3508" w14:textId="77777777" w:rsidR="00E664B3" w:rsidRDefault="00E664B3" w:rsidP="00DA340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781C" w14:textId="77777777" w:rsidR="00E664B3" w:rsidRPr="00DA3409" w:rsidRDefault="00E664B3" w:rsidP="000B0CEB">
    <w:pPr>
      <w:pStyle w:val="Voettekst"/>
      <w:framePr w:wrap="around" w:vAnchor="text" w:hAnchor="margin" w:xAlign="right" w:y="1"/>
      <w:rPr>
        <w:rStyle w:val="Paginanummer"/>
        <w:rFonts w:ascii="Calibri" w:hAnsi="Calibri"/>
        <w:sz w:val="16"/>
        <w:szCs w:val="16"/>
      </w:rPr>
    </w:pPr>
    <w:r w:rsidRPr="00DA3409">
      <w:rPr>
        <w:rStyle w:val="Paginanummer"/>
        <w:rFonts w:ascii="Calibri" w:hAnsi="Calibri"/>
        <w:sz w:val="16"/>
        <w:szCs w:val="16"/>
      </w:rPr>
      <w:fldChar w:fldCharType="begin"/>
    </w:r>
    <w:r w:rsidRPr="00DA3409">
      <w:rPr>
        <w:rStyle w:val="Paginanummer"/>
        <w:rFonts w:ascii="Calibri" w:hAnsi="Calibri"/>
        <w:sz w:val="16"/>
        <w:szCs w:val="16"/>
      </w:rPr>
      <w:instrText xml:space="preserve">PAGE  </w:instrText>
    </w:r>
    <w:r w:rsidRPr="00DA3409">
      <w:rPr>
        <w:rStyle w:val="Paginanummer"/>
        <w:rFonts w:ascii="Calibri" w:hAnsi="Calibri"/>
        <w:sz w:val="16"/>
        <w:szCs w:val="16"/>
      </w:rPr>
      <w:fldChar w:fldCharType="separate"/>
    </w:r>
    <w:r>
      <w:rPr>
        <w:rStyle w:val="Paginanummer"/>
        <w:rFonts w:ascii="Calibri" w:hAnsi="Calibri"/>
        <w:noProof/>
        <w:sz w:val="16"/>
        <w:szCs w:val="16"/>
      </w:rPr>
      <w:t>12</w:t>
    </w:r>
    <w:r w:rsidRPr="00DA3409">
      <w:rPr>
        <w:rStyle w:val="Paginanummer"/>
        <w:rFonts w:ascii="Calibri" w:hAnsi="Calibri"/>
        <w:sz w:val="16"/>
        <w:szCs w:val="16"/>
      </w:rPr>
      <w:fldChar w:fldCharType="end"/>
    </w:r>
  </w:p>
  <w:p w14:paraId="724E5532" w14:textId="4D92AA3B" w:rsidR="00E664B3" w:rsidRPr="00DA3409" w:rsidRDefault="00E664B3" w:rsidP="00DA3409">
    <w:pPr>
      <w:pStyle w:val="Voettekst"/>
      <w:ind w:right="360"/>
      <w:rPr>
        <w:rFonts w:ascii="Calibri" w:hAnsi="Calibri"/>
        <w:sz w:val="16"/>
        <w:szCs w:val="16"/>
      </w:rPr>
    </w:pP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BFFD" w14:textId="77777777" w:rsidR="00A837E8" w:rsidRDefault="00A837E8">
      <w:r>
        <w:separator/>
      </w:r>
    </w:p>
  </w:footnote>
  <w:footnote w:type="continuationSeparator" w:id="0">
    <w:p w14:paraId="3DED6179" w14:textId="77777777" w:rsidR="00A837E8" w:rsidRDefault="00A837E8">
      <w:r>
        <w:continuationSeparator/>
      </w:r>
    </w:p>
  </w:footnote>
  <w:footnote w:id="1">
    <w:p w14:paraId="1A29E231" w14:textId="2F0FA14E" w:rsidR="00E664B3" w:rsidRPr="00036F77" w:rsidRDefault="00E664B3" w:rsidP="00A2229F">
      <w:pPr>
        <w:pStyle w:val="Voetnoottekst"/>
        <w:rPr>
          <w:sz w:val="16"/>
          <w:szCs w:val="16"/>
        </w:rPr>
      </w:pPr>
      <w:r w:rsidRPr="00036F77">
        <w:rPr>
          <w:rStyle w:val="Voetnootmarkering"/>
          <w:sz w:val="16"/>
          <w:szCs w:val="16"/>
        </w:rPr>
        <w:footnoteRef/>
      </w:r>
      <w:r w:rsidRPr="00036F77">
        <w:rPr>
          <w:sz w:val="16"/>
          <w:szCs w:val="16"/>
        </w:rPr>
        <w:t xml:space="preserve"> </w:t>
      </w:r>
      <w:r w:rsidR="0091148E">
        <w:rPr>
          <w:sz w:val="16"/>
          <w:szCs w:val="16"/>
        </w:rPr>
        <w:t>Zie</w:t>
      </w:r>
      <w:r w:rsidR="00F76871">
        <w:rPr>
          <w:sz w:val="16"/>
          <w:szCs w:val="16"/>
        </w:rPr>
        <w:t xml:space="preserve">: </w:t>
      </w:r>
      <w:r w:rsidR="0091148E" w:rsidRPr="0091148E">
        <w:rPr>
          <w:sz w:val="16"/>
          <w:szCs w:val="16"/>
        </w:rPr>
        <w:t>R15.000210</w:t>
      </w:r>
      <w:r w:rsidR="0091148E">
        <w:rPr>
          <w:sz w:val="16"/>
          <w:szCs w:val="16"/>
        </w:rPr>
        <w:t xml:space="preserve"> - </w:t>
      </w:r>
      <w:r w:rsidRPr="00036F77">
        <w:rPr>
          <w:sz w:val="16"/>
          <w:szCs w:val="16"/>
        </w:rPr>
        <w:t>Besluit Gemeente Súdwest-Fryslân d.d. 17 december 2015</w:t>
      </w:r>
    </w:p>
  </w:footnote>
  <w:footnote w:id="2">
    <w:p w14:paraId="107E40F8" w14:textId="6112D86F" w:rsidR="00E664B3" w:rsidRPr="00036F77" w:rsidRDefault="00E664B3" w:rsidP="00C51FAB">
      <w:pPr>
        <w:pStyle w:val="Voetnoottekst"/>
        <w:rPr>
          <w:sz w:val="16"/>
          <w:szCs w:val="16"/>
        </w:rPr>
      </w:pPr>
      <w:r w:rsidRPr="00036F77">
        <w:rPr>
          <w:rStyle w:val="Voetnootmarkering"/>
          <w:sz w:val="16"/>
          <w:szCs w:val="16"/>
        </w:rPr>
        <w:footnoteRef/>
      </w:r>
      <w:r w:rsidRPr="00036F77">
        <w:rPr>
          <w:sz w:val="16"/>
          <w:szCs w:val="16"/>
        </w:rPr>
        <w:t xml:space="preserve"> Zie</w:t>
      </w:r>
      <w:r w:rsidR="0091148E">
        <w:rPr>
          <w:sz w:val="16"/>
          <w:szCs w:val="16"/>
        </w:rPr>
        <w:t>:</w:t>
      </w:r>
      <w:r w:rsidRPr="00036F77">
        <w:rPr>
          <w:sz w:val="16"/>
          <w:szCs w:val="16"/>
        </w:rPr>
        <w:t xml:space="preserve"> </w:t>
      </w:r>
      <w:r w:rsidR="0091148E" w:rsidRPr="0091148E">
        <w:rPr>
          <w:sz w:val="16"/>
          <w:szCs w:val="16"/>
        </w:rPr>
        <w:t>R15.000210</w:t>
      </w:r>
      <w:r w:rsidR="0091148E">
        <w:rPr>
          <w:sz w:val="16"/>
          <w:szCs w:val="16"/>
        </w:rPr>
        <w:t xml:space="preserve"> - </w:t>
      </w:r>
      <w:r w:rsidR="008217E9" w:rsidRPr="00036F77">
        <w:rPr>
          <w:sz w:val="16"/>
          <w:szCs w:val="16"/>
        </w:rPr>
        <w:t>Besluit Gemeente Súdwest-Fryslân d.d. 17 december 2015</w:t>
      </w:r>
      <w:r w:rsidRPr="00036F77">
        <w:rPr>
          <w:sz w:val="16"/>
          <w:szCs w:val="16"/>
        </w:rPr>
        <w:t>, p.9</w:t>
      </w:r>
    </w:p>
  </w:footnote>
  <w:footnote w:id="3">
    <w:p w14:paraId="568F1148" w14:textId="2D87C7E6" w:rsidR="00E664B3" w:rsidRPr="00036F77" w:rsidRDefault="00E664B3" w:rsidP="00C51FAB">
      <w:pPr>
        <w:pStyle w:val="Voetnoottekst"/>
        <w:rPr>
          <w:sz w:val="16"/>
          <w:szCs w:val="16"/>
        </w:rPr>
      </w:pPr>
      <w:r w:rsidRPr="00036F77">
        <w:rPr>
          <w:rStyle w:val="Voetnootmarkering"/>
          <w:sz w:val="16"/>
          <w:szCs w:val="16"/>
        </w:rPr>
        <w:footnoteRef/>
      </w:r>
      <w:r w:rsidRPr="00036F77">
        <w:rPr>
          <w:sz w:val="16"/>
          <w:szCs w:val="16"/>
        </w:rPr>
        <w:t xml:space="preserve"> </w:t>
      </w:r>
      <w:r w:rsidR="0091148E">
        <w:rPr>
          <w:sz w:val="16"/>
          <w:szCs w:val="16"/>
        </w:rPr>
        <w:t xml:space="preserve">Zie: </w:t>
      </w:r>
      <w:r w:rsidR="00ED2BC6">
        <w:rPr>
          <w:sz w:val="16"/>
          <w:szCs w:val="16"/>
        </w:rPr>
        <w:t xml:space="preserve"> </w:t>
      </w:r>
      <w:r w:rsidR="009A451B">
        <w:rPr>
          <w:sz w:val="16"/>
          <w:szCs w:val="16"/>
        </w:rPr>
        <w:t xml:space="preserve">Notitie </w:t>
      </w:r>
      <w:r w:rsidR="0091148E">
        <w:rPr>
          <w:sz w:val="16"/>
          <w:szCs w:val="16"/>
        </w:rPr>
        <w:t>‘</w:t>
      </w:r>
      <w:r w:rsidRPr="00706393">
        <w:rPr>
          <w:sz w:val="16"/>
          <w:szCs w:val="16"/>
        </w:rPr>
        <w:t xml:space="preserve">Het Ondernemersfonds </w:t>
      </w:r>
      <w:proofErr w:type="spellStart"/>
      <w:r w:rsidRPr="00706393">
        <w:rPr>
          <w:sz w:val="16"/>
          <w:szCs w:val="16"/>
        </w:rPr>
        <w:t>Súdwest</w:t>
      </w:r>
      <w:proofErr w:type="spellEnd"/>
      <w:r w:rsidRPr="00706393">
        <w:rPr>
          <w:sz w:val="16"/>
          <w:szCs w:val="16"/>
        </w:rPr>
        <w:t>- Fryslân'</w:t>
      </w:r>
      <w:r w:rsidR="0091148E">
        <w:rPr>
          <w:sz w:val="16"/>
          <w:szCs w:val="16"/>
        </w:rPr>
        <w:t xml:space="preserve"> </w:t>
      </w:r>
      <w:r w:rsidR="0091148E" w:rsidRPr="0091148E">
        <w:rPr>
          <w:sz w:val="16"/>
          <w:szCs w:val="16"/>
        </w:rPr>
        <w:t xml:space="preserve">van De Stichting Ondernemers </w:t>
      </w:r>
      <w:proofErr w:type="spellStart"/>
      <w:r w:rsidR="0091148E" w:rsidRPr="0091148E">
        <w:rPr>
          <w:sz w:val="16"/>
          <w:szCs w:val="16"/>
        </w:rPr>
        <w:t>Súdwest-Frysla</w:t>
      </w:r>
      <w:r w:rsidR="0091148E" w:rsidRPr="0091148E">
        <w:rPr>
          <w:rFonts w:ascii="Arial" w:hAnsi="Arial" w:cs="Arial"/>
          <w:sz w:val="16"/>
          <w:szCs w:val="16"/>
        </w:rPr>
        <w:t>̂</w:t>
      </w:r>
      <w:r w:rsidR="0091148E" w:rsidRPr="0091148E">
        <w:rPr>
          <w:sz w:val="16"/>
          <w:szCs w:val="16"/>
        </w:rPr>
        <w:t>n</w:t>
      </w:r>
      <w:proofErr w:type="spellEnd"/>
      <w:r w:rsidR="006108FD">
        <w:rPr>
          <w:sz w:val="16"/>
          <w:szCs w:val="16"/>
        </w:rPr>
        <w:t>’, bureau Blaauwberg,</w:t>
      </w:r>
      <w:r w:rsidRPr="00706393">
        <w:rPr>
          <w:sz w:val="16"/>
          <w:szCs w:val="16"/>
        </w:rPr>
        <w:t xml:space="preserve"> </w:t>
      </w:r>
      <w:r w:rsidRPr="00733080">
        <w:rPr>
          <w:sz w:val="16"/>
          <w:szCs w:val="16"/>
        </w:rPr>
        <w:t xml:space="preserve">d.d. </w:t>
      </w:r>
      <w:r w:rsidRPr="00706393">
        <w:rPr>
          <w:sz w:val="16"/>
          <w:szCs w:val="16"/>
        </w:rPr>
        <w:t>28 oktober 2015</w:t>
      </w:r>
    </w:p>
  </w:footnote>
  <w:footnote w:id="4">
    <w:p w14:paraId="4996D0EC" w14:textId="73098530" w:rsidR="00E664B3" w:rsidRPr="00036F77" w:rsidRDefault="00E664B3" w:rsidP="00C51FAB">
      <w:pPr>
        <w:pStyle w:val="Voetnoottekst"/>
        <w:ind w:left="112" w:hanging="112"/>
        <w:rPr>
          <w:sz w:val="16"/>
          <w:szCs w:val="16"/>
        </w:rPr>
      </w:pPr>
      <w:r w:rsidRPr="00036F77">
        <w:rPr>
          <w:rStyle w:val="Voetnootmarkering"/>
          <w:sz w:val="16"/>
          <w:szCs w:val="16"/>
        </w:rPr>
        <w:footnoteRef/>
      </w:r>
      <w:r w:rsidRPr="00036F77">
        <w:rPr>
          <w:sz w:val="16"/>
          <w:szCs w:val="16"/>
        </w:rPr>
        <w:t xml:space="preserve"> </w:t>
      </w:r>
      <w:r w:rsidR="0091148E">
        <w:rPr>
          <w:sz w:val="16"/>
          <w:szCs w:val="16"/>
        </w:rPr>
        <w:t>Zie</w:t>
      </w:r>
      <w:r w:rsidR="00ED2BC6">
        <w:rPr>
          <w:sz w:val="16"/>
          <w:szCs w:val="16"/>
        </w:rPr>
        <w:t xml:space="preserve">: </w:t>
      </w:r>
      <w:r w:rsidRPr="00036F77">
        <w:rPr>
          <w:sz w:val="16"/>
          <w:szCs w:val="16"/>
        </w:rPr>
        <w:t>'ONDERNEMERSCHAP EN SAMENWERKING IN SUDWEST-FRYSLAN – Voorstel voor een Ondernemersfonds'</w:t>
      </w:r>
      <w:r w:rsidR="006108FD">
        <w:rPr>
          <w:sz w:val="16"/>
          <w:szCs w:val="16"/>
        </w:rPr>
        <w:t>, Blaauwberg</w:t>
      </w:r>
      <w:r w:rsidRPr="00036F77">
        <w:rPr>
          <w:sz w:val="16"/>
          <w:szCs w:val="16"/>
        </w:rPr>
        <w:t xml:space="preserve"> d.d. 1 mei 2015</w:t>
      </w:r>
    </w:p>
  </w:footnote>
  <w:footnote w:id="5">
    <w:p w14:paraId="39D9B870" w14:textId="47C5C9C5" w:rsidR="00E664B3" w:rsidRPr="00036F77" w:rsidRDefault="00E664B3" w:rsidP="00C51FAB">
      <w:pPr>
        <w:pStyle w:val="Voetnoottekst"/>
        <w:rPr>
          <w:sz w:val="16"/>
          <w:szCs w:val="16"/>
        </w:rPr>
      </w:pPr>
      <w:r w:rsidRPr="00036F77">
        <w:rPr>
          <w:rStyle w:val="Voetnootmarkering"/>
          <w:sz w:val="16"/>
          <w:szCs w:val="16"/>
        </w:rPr>
        <w:footnoteRef/>
      </w:r>
      <w:r w:rsidRPr="00036F77">
        <w:rPr>
          <w:sz w:val="16"/>
          <w:szCs w:val="16"/>
        </w:rPr>
        <w:t xml:space="preserve"> </w:t>
      </w:r>
      <w:r w:rsidR="006108FD">
        <w:rPr>
          <w:sz w:val="16"/>
          <w:szCs w:val="16"/>
        </w:rPr>
        <w:t>Zie</w:t>
      </w:r>
      <w:r w:rsidR="00ED2BC6">
        <w:rPr>
          <w:sz w:val="16"/>
          <w:szCs w:val="16"/>
        </w:rPr>
        <w:t xml:space="preserve">: </w:t>
      </w:r>
      <w:r w:rsidRPr="000B263A">
        <w:rPr>
          <w:sz w:val="16"/>
          <w:szCs w:val="16"/>
        </w:rPr>
        <w:t>'Samenwerkingsovereenkomst Ondernemersfonds Súdwest-Fryslân</w:t>
      </w:r>
      <w:r w:rsidR="006108FD">
        <w:rPr>
          <w:sz w:val="16"/>
          <w:szCs w:val="16"/>
        </w:rPr>
        <w:t>’</w:t>
      </w:r>
      <w:r w:rsidR="00CB116A">
        <w:rPr>
          <w:sz w:val="16"/>
          <w:szCs w:val="16"/>
        </w:rPr>
        <w:t xml:space="preserve"> </w:t>
      </w:r>
      <w:r w:rsidR="00F76871">
        <w:rPr>
          <w:sz w:val="16"/>
          <w:szCs w:val="16"/>
        </w:rPr>
        <w:t>dd. 21 april 2016</w:t>
      </w:r>
      <w:r>
        <w:rPr>
          <w:sz w:val="16"/>
          <w:szCs w:val="16"/>
        </w:rPr>
        <w:t>'</w:t>
      </w:r>
    </w:p>
  </w:footnote>
  <w:footnote w:id="6">
    <w:p w14:paraId="1C424EE6" w14:textId="15FAA233" w:rsidR="00E664B3" w:rsidRPr="00036F77" w:rsidRDefault="00E664B3" w:rsidP="00CC5612">
      <w:pPr>
        <w:pStyle w:val="Voetnoottekst"/>
        <w:rPr>
          <w:sz w:val="16"/>
          <w:szCs w:val="16"/>
        </w:rPr>
      </w:pPr>
      <w:r w:rsidRPr="00036F77">
        <w:rPr>
          <w:rStyle w:val="Voetnootmarkering"/>
          <w:sz w:val="16"/>
          <w:szCs w:val="16"/>
        </w:rPr>
        <w:footnoteRef/>
      </w:r>
      <w:r w:rsidRPr="00036F77">
        <w:rPr>
          <w:sz w:val="16"/>
          <w:szCs w:val="16"/>
        </w:rPr>
        <w:t xml:space="preserve"> </w:t>
      </w:r>
      <w:r w:rsidR="007E4EAE">
        <w:rPr>
          <w:sz w:val="16"/>
          <w:szCs w:val="16"/>
        </w:rPr>
        <w:t>Zie</w:t>
      </w:r>
      <w:r w:rsidR="00D3309B">
        <w:rPr>
          <w:sz w:val="16"/>
          <w:szCs w:val="16"/>
        </w:rPr>
        <w:t xml:space="preserve">: </w:t>
      </w:r>
      <w:r w:rsidR="00D3309B" w:rsidRPr="00036F77">
        <w:rPr>
          <w:sz w:val="16"/>
          <w:szCs w:val="16"/>
        </w:rPr>
        <w:t xml:space="preserve"> 'ONDERNEMERSCHAP EN SAMENWERKING IN SUDWEST-FRYSLAN – Voorstel voor een Ondernemersfonds' d.d. 1 mei 2015</w:t>
      </w:r>
      <w:r w:rsidR="00D3309B">
        <w:rPr>
          <w:sz w:val="16"/>
          <w:szCs w:val="16"/>
        </w:rPr>
        <w:t xml:space="preserve"> </w:t>
      </w:r>
      <w:r w:rsidRPr="00036F77">
        <w:rPr>
          <w:sz w:val="16"/>
          <w:szCs w:val="16"/>
        </w:rPr>
        <w:t>p.35 e.v.</w:t>
      </w:r>
    </w:p>
  </w:footnote>
  <w:footnote w:id="7">
    <w:p w14:paraId="0274F3F3" w14:textId="518E8704" w:rsidR="00E664B3" w:rsidRDefault="00E664B3">
      <w:pPr>
        <w:pStyle w:val="Voetnoottekst"/>
      </w:pPr>
      <w:r>
        <w:rPr>
          <w:rStyle w:val="Voetnootmarkering"/>
        </w:rPr>
        <w:footnoteRef/>
      </w:r>
      <w:r>
        <w:t xml:space="preserve"> Art. 220 e.v. Gemeentewet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7A8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22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185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7AB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92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42B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8E5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0C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2FAF4"/>
    <w:lvl w:ilvl="0">
      <w:start w:val="1"/>
      <w:numFmt w:val="decimal"/>
      <w:lvlText w:val="%1."/>
      <w:lvlJc w:val="left"/>
      <w:pPr>
        <w:tabs>
          <w:tab w:val="num" w:pos="360"/>
        </w:tabs>
        <w:ind w:left="360" w:hanging="360"/>
      </w:pPr>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E34E8D"/>
    <w:multiLevelType w:val="multilevel"/>
    <w:tmpl w:val="0944D7D2"/>
    <w:lvl w:ilvl="0">
      <w:start w:val="1"/>
      <w:numFmt w:val="decimal"/>
      <w:lvlText w:val="%1."/>
      <w:lvlJc w:val="left"/>
      <w:pPr>
        <w:ind w:left="360" w:hanging="360"/>
      </w:pPr>
      <w:rPr>
        <w:rFonts w:hint="default"/>
        <w:b w:val="0"/>
        <w:bCs/>
        <w:i w:val="0"/>
        <w:iCs w:val="0"/>
        <w:caps w:val="0"/>
        <w:smallCaps w:val="0"/>
        <w:strike w:val="0"/>
        <w:dstrike w:val="0"/>
        <w:color w:val="000000"/>
        <w:spacing w:val="0"/>
        <w:kern w:val="0"/>
        <w:position w:val="0"/>
        <w:sz w:val="20"/>
        <w:szCs w:val="20"/>
        <w:u w:val="none" w:color="000000"/>
        <w:vertAlign w:val="baseline"/>
      </w:rPr>
    </w:lvl>
    <w:lvl w:ilvl="1">
      <w:start w:val="1"/>
      <w:numFmt w:val="decimal"/>
      <w:lvlText w:val="%1.%2."/>
      <w:lvlJc w:val="left"/>
      <w:pPr>
        <w:tabs>
          <w:tab w:val="num" w:pos="6400"/>
        </w:tabs>
        <w:ind w:left="907" w:hanging="907"/>
      </w:pPr>
      <w:rPr>
        <w:rFonts w:ascii="Roboto Slab Light" w:hAnsi="Roboto Slab Light" w:cs="Calibri" w:hint="default"/>
        <w:b w:val="0"/>
        <w:bCs w:val="0"/>
        <w:i w:val="0"/>
        <w:iCs w:val="0"/>
        <w:caps w:val="0"/>
        <w:smallCaps w:val="0"/>
        <w:strike w:val="0"/>
        <w:dstrike w:val="0"/>
        <w:color w:val="000000"/>
        <w:spacing w:val="0"/>
        <w:kern w:val="0"/>
        <w:position w:val="0"/>
        <w:sz w:val="18"/>
        <w:szCs w:val="20"/>
        <w:u w:val="none" w:color="000000"/>
        <w:vertAlign w:val="baseline"/>
      </w:rPr>
    </w:lvl>
    <w:lvl w:ilvl="2">
      <w:start w:val="1"/>
      <w:numFmt w:val="decimal"/>
      <w:lvlText w:val="%1.%2.%3."/>
      <w:lvlJc w:val="left"/>
      <w:pPr>
        <w:tabs>
          <w:tab w:val="num" w:pos="6400"/>
        </w:tabs>
        <w:ind w:left="907" w:hanging="907"/>
      </w:pPr>
      <w:rPr>
        <w:rFonts w:ascii="Roboto Slab Light" w:hAnsi="Roboto Slab Light" w:cs="Calibri" w:hint="default"/>
        <w:b w:val="0"/>
        <w:bCs w:val="0"/>
        <w:i w:val="0"/>
        <w:iCs w:val="0"/>
        <w:caps w:val="0"/>
        <w:smallCaps w:val="0"/>
        <w:strike w:val="0"/>
        <w:dstrike w:val="0"/>
        <w:color w:val="000000"/>
        <w:spacing w:val="0"/>
        <w:kern w:val="0"/>
        <w:position w:val="0"/>
        <w:sz w:val="18"/>
        <w:szCs w:val="18"/>
        <w:u w:val="none" w:color="000000"/>
        <w:vertAlign w:val="baseline"/>
      </w:rPr>
    </w:lvl>
    <w:lvl w:ilvl="3">
      <w:start w:val="1"/>
      <w:numFmt w:val="bullet"/>
      <w:lvlText w:val="•"/>
      <w:lvlJc w:val="left"/>
      <w:pPr>
        <w:tabs>
          <w:tab w:val="num" w:pos="6400"/>
        </w:tabs>
        <w:ind w:left="2268" w:hanging="283"/>
      </w:pPr>
      <w:rPr>
        <w:rFonts w:ascii="Calibri" w:hAnsi="Calibri" w:hint="default"/>
        <w:b w:val="0"/>
        <w:bCs w:val="0"/>
        <w:i w:val="0"/>
        <w:iCs w:val="0"/>
        <w:caps w:val="0"/>
        <w:smallCaps w:val="0"/>
        <w:strike w:val="0"/>
        <w:dstrike w:val="0"/>
        <w:color w:val="000000"/>
        <w:spacing w:val="0"/>
        <w:kern w:val="0"/>
        <w:position w:val="0"/>
        <w:sz w:val="22"/>
        <w:u w:val="none" w:color="000000"/>
        <w:vertAlign w:val="baseline"/>
      </w:rPr>
    </w:lvl>
    <w:lvl w:ilvl="4">
      <w:start w:val="1"/>
      <w:numFmt w:val="decimal"/>
      <w:lvlText w:val="%5"/>
      <w:lvlJc w:val="left"/>
      <w:pPr>
        <w:tabs>
          <w:tab w:val="num" w:pos="6400"/>
        </w:tabs>
        <w:ind w:left="2268" w:hanging="283"/>
      </w:pPr>
      <w:rPr>
        <w:rFonts w:ascii="Roboto Slab Light" w:hAnsi="Roboto Slab Light" w:hint="default"/>
        <w:b w:val="0"/>
        <w:bCs w:val="0"/>
        <w:i w:val="0"/>
        <w:iCs/>
        <w:caps w:val="0"/>
        <w:smallCaps w:val="0"/>
        <w:strike w:val="0"/>
        <w:dstrike w:val="0"/>
        <w:color w:val="000000"/>
        <w:spacing w:val="0"/>
        <w:kern w:val="0"/>
        <w:position w:val="0"/>
        <w:sz w:val="18"/>
        <w:szCs w:val="22"/>
        <w:u w:val="none" w:color="000000"/>
        <w:vertAlign w:val="baseline"/>
      </w:rPr>
    </w:lvl>
    <w:lvl w:ilvl="5">
      <w:start w:val="1"/>
      <w:numFmt w:val="none"/>
      <w:lvlText w:val=""/>
      <w:lvlJc w:val="left"/>
      <w:pPr>
        <w:ind w:left="0" w:firstLine="1985"/>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Pr>
    </w:lvl>
    <w:lvl w:ilvl="6">
      <w:start w:val="1"/>
      <w:numFmt w:val="decimal"/>
      <w:lvlText w:val="%1.%2.%3.%4.%5.%6.%7."/>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Pr>
    </w:lvl>
    <w:lvl w:ilvl="7">
      <w:start w:val="1"/>
      <w:numFmt w:val="decimal"/>
      <w:lvlText w:val="%1.%2.%3.%4.%5.%6.%7.%8."/>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Pr>
    </w:lvl>
    <w:lvl w:ilvl="8">
      <w:start w:val="1"/>
      <w:numFmt w:val="decimal"/>
      <w:lvlText w:val="%1.%2.%3.%4.%5.%6.%7.%8.%9."/>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Pr>
    </w:lvl>
  </w:abstractNum>
  <w:abstractNum w:abstractNumId="11" w15:restartNumberingAfterBreak="0">
    <w:nsid w:val="11657537"/>
    <w:multiLevelType w:val="hybridMultilevel"/>
    <w:tmpl w:val="0722F2B6"/>
    <w:lvl w:ilvl="0" w:tplc="04130003">
      <w:start w:val="1"/>
      <w:numFmt w:val="bullet"/>
      <w:lvlText w:val="o"/>
      <w:lvlJc w:val="left"/>
      <w:pPr>
        <w:tabs>
          <w:tab w:val="num" w:pos="780"/>
        </w:tabs>
        <w:ind w:left="780" w:hanging="360"/>
      </w:pPr>
      <w:rPr>
        <w:rFonts w:ascii="Courier New" w:hAnsi="Courier New" w:cs="Courier New"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A7779B5"/>
    <w:multiLevelType w:val="multilevel"/>
    <w:tmpl w:val="433CDD6E"/>
    <w:lvl w:ilvl="0">
      <w:start w:val="1"/>
      <w:numFmt w:val="decimal"/>
      <w:lvlText w:val="%1."/>
      <w:lvlJc w:val="left"/>
      <w:pPr>
        <w:tabs>
          <w:tab w:val="num" w:pos="6400"/>
        </w:tabs>
        <w:ind w:left="1418" w:hanging="1418"/>
      </w:pPr>
      <w:rPr>
        <w:rFonts w:ascii="Calibri Bold" w:hAnsi="Calibri Bold" w:cs="Calibri" w:hint="default"/>
        <w:b/>
        <w:bCs/>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1">
      <w:start w:val="1"/>
      <w:numFmt w:val="decimal"/>
      <w:lvlText w:val="%1.%2."/>
      <w:lvlJc w:val="left"/>
      <w:pPr>
        <w:tabs>
          <w:tab w:val="num" w:pos="6400"/>
        </w:tabs>
        <w:ind w:left="907" w:hanging="907"/>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2">
      <w:start w:val="1"/>
      <w:numFmt w:val="decimal"/>
      <w:lvlText w:val="%1.%2.%3."/>
      <w:lvlJc w:val="left"/>
      <w:pPr>
        <w:tabs>
          <w:tab w:val="num" w:pos="6400"/>
        </w:tabs>
        <w:ind w:left="907" w:hanging="907"/>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3">
      <w:start w:val="1"/>
      <w:numFmt w:val="bullet"/>
      <w:lvlText w:val="•"/>
      <w:lvlJc w:val="left"/>
      <w:pPr>
        <w:tabs>
          <w:tab w:val="num" w:pos="6400"/>
        </w:tabs>
        <w:ind w:left="2268" w:hanging="283"/>
      </w:pPr>
      <w:rPr>
        <w:rFonts w:ascii="Calibri" w:hAnsi="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4">
      <w:start w:val="1"/>
      <w:numFmt w:val="none"/>
      <w:lvlText w:val=""/>
      <w:lvlJc w:val="left"/>
      <w:pPr>
        <w:tabs>
          <w:tab w:val="num" w:pos="6400"/>
        </w:tabs>
        <w:ind w:left="2268" w:hanging="2268"/>
      </w:pPr>
      <w:rPr>
        <w:rFonts w:asciiTheme="majorHAnsi" w:hAnsiTheme="majorHAnsi" w:hint="default"/>
        <w:b w:val="0"/>
        <w:bCs w:val="0"/>
        <w:i/>
        <w:iCs/>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5">
      <w:start w:val="1"/>
      <w:numFmt w:val="decimal"/>
      <w:lvlText w:val="%1.%2.%3.%4.%5.%6."/>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6">
      <w:start w:val="1"/>
      <w:numFmt w:val="decimal"/>
      <w:lvlText w:val="%1.%2.%3.%4.%5.%6.%7."/>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7">
      <w:start w:val="1"/>
      <w:numFmt w:val="decimal"/>
      <w:lvlText w:val="%1.%2.%3.%4.%5.%6.%7.%8."/>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8">
      <w:start w:val="1"/>
      <w:numFmt w:val="decimal"/>
      <w:lvlText w:val="%1.%2.%3.%4.%5.%6.%7.%8.%9."/>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abstractNum>
  <w:abstractNum w:abstractNumId="13" w15:restartNumberingAfterBreak="0">
    <w:nsid w:val="1D660B9C"/>
    <w:multiLevelType w:val="hybridMultilevel"/>
    <w:tmpl w:val="73AC05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AB5DA3"/>
    <w:multiLevelType w:val="hybridMultilevel"/>
    <w:tmpl w:val="A920BE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70B40"/>
    <w:multiLevelType w:val="multilevel"/>
    <w:tmpl w:val="433CDD6E"/>
    <w:lvl w:ilvl="0">
      <w:start w:val="1"/>
      <w:numFmt w:val="decimal"/>
      <w:lvlText w:val="%1."/>
      <w:lvlJc w:val="left"/>
      <w:pPr>
        <w:tabs>
          <w:tab w:val="num" w:pos="6400"/>
        </w:tabs>
        <w:ind w:left="1418" w:hanging="1418"/>
      </w:pPr>
      <w:rPr>
        <w:rFonts w:ascii="Calibri Bold" w:hAnsi="Calibri Bold" w:cs="Calibri" w:hint="default"/>
        <w:b/>
        <w:bCs/>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1">
      <w:start w:val="1"/>
      <w:numFmt w:val="decimal"/>
      <w:lvlText w:val="%1.%2."/>
      <w:lvlJc w:val="left"/>
      <w:pPr>
        <w:tabs>
          <w:tab w:val="num" w:pos="6400"/>
        </w:tabs>
        <w:ind w:left="907" w:hanging="907"/>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2">
      <w:start w:val="1"/>
      <w:numFmt w:val="decimal"/>
      <w:lvlText w:val="%1.%2.%3."/>
      <w:lvlJc w:val="left"/>
      <w:pPr>
        <w:tabs>
          <w:tab w:val="num" w:pos="6400"/>
        </w:tabs>
        <w:ind w:left="907" w:hanging="907"/>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3">
      <w:start w:val="1"/>
      <w:numFmt w:val="bullet"/>
      <w:lvlText w:val="•"/>
      <w:lvlJc w:val="left"/>
      <w:pPr>
        <w:tabs>
          <w:tab w:val="num" w:pos="6400"/>
        </w:tabs>
        <w:ind w:left="2268" w:hanging="283"/>
      </w:pPr>
      <w:rPr>
        <w:rFonts w:ascii="Calibri" w:hAnsi="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4">
      <w:start w:val="1"/>
      <w:numFmt w:val="none"/>
      <w:lvlText w:val=""/>
      <w:lvlJc w:val="left"/>
      <w:pPr>
        <w:tabs>
          <w:tab w:val="num" w:pos="6400"/>
        </w:tabs>
        <w:ind w:left="2268" w:hanging="2268"/>
      </w:pPr>
      <w:rPr>
        <w:rFonts w:asciiTheme="majorHAnsi" w:hAnsiTheme="majorHAnsi" w:hint="default"/>
        <w:b w:val="0"/>
        <w:bCs w:val="0"/>
        <w:i/>
        <w:iCs/>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5">
      <w:start w:val="1"/>
      <w:numFmt w:val="decimal"/>
      <w:lvlText w:val="%1.%2.%3.%4.%5.%6."/>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6">
      <w:start w:val="1"/>
      <w:numFmt w:val="decimal"/>
      <w:lvlText w:val="%1.%2.%3.%4.%5.%6.%7."/>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7">
      <w:start w:val="1"/>
      <w:numFmt w:val="decimal"/>
      <w:lvlText w:val="%1.%2.%3.%4.%5.%6.%7.%8."/>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8">
      <w:start w:val="1"/>
      <w:numFmt w:val="decimal"/>
      <w:lvlText w:val="%1.%2.%3.%4.%5.%6.%7.%8.%9."/>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abstractNum>
  <w:abstractNum w:abstractNumId="16" w15:restartNumberingAfterBreak="0">
    <w:nsid w:val="4F164110"/>
    <w:multiLevelType w:val="hybridMultilevel"/>
    <w:tmpl w:val="58F8B6DE"/>
    <w:lvl w:ilvl="0" w:tplc="2BAE01DA">
      <w:start w:val="2377"/>
      <w:numFmt w:val="bullet"/>
      <w:lvlText w:val="-"/>
      <w:lvlJc w:val="left"/>
      <w:pPr>
        <w:tabs>
          <w:tab w:val="num" w:pos="720"/>
        </w:tabs>
        <w:ind w:left="720" w:hanging="360"/>
      </w:pPr>
      <w:rPr>
        <w:rFonts w:ascii="Tunga" w:eastAsia="Times New Roman" w:hAnsi="Tunga" w:cs="Tung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C1EB4"/>
    <w:multiLevelType w:val="multilevel"/>
    <w:tmpl w:val="5AE0C882"/>
    <w:lvl w:ilvl="0">
      <w:start w:val="1"/>
      <w:numFmt w:val="decimal"/>
      <w:lvlText w:val="%1."/>
      <w:lvlJc w:val="left"/>
      <w:pPr>
        <w:ind w:left="794" w:hanging="794"/>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num" w:pos="6400"/>
        </w:tabs>
        <w:ind w:left="794" w:hanging="794"/>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tabs>
          <w:tab w:val="num" w:pos="6400"/>
        </w:tabs>
        <w:ind w:left="794" w:hanging="794"/>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3">
      <w:start w:val="1"/>
      <w:numFmt w:val="bullet"/>
      <w:lvlText w:val=""/>
      <w:lvlJc w:val="left"/>
      <w:pPr>
        <w:tabs>
          <w:tab w:val="num" w:pos="1134"/>
        </w:tabs>
        <w:ind w:left="1134" w:hanging="283"/>
      </w:pPr>
      <w:rPr>
        <w:rFonts w:ascii="Symbol" w:hAnsi="Symbo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decimal"/>
      <w:lvlText w:val="%5."/>
      <w:lvlJc w:val="left"/>
      <w:pPr>
        <w:tabs>
          <w:tab w:val="num" w:pos="1134"/>
        </w:tabs>
        <w:ind w:left="1134" w:hanging="283"/>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5">
      <w:start w:val="1"/>
      <w:numFmt w:val="lowerLetter"/>
      <w:lvlText w:val="%6. "/>
      <w:lvlJc w:val="left"/>
      <w:pPr>
        <w:tabs>
          <w:tab w:val="num" w:pos="1418"/>
        </w:tabs>
        <w:ind w:left="1418" w:hanging="284"/>
      </w:pPr>
      <w:rPr>
        <w:rFonts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907" w:hanging="907"/>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907" w:hanging="907"/>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907" w:hanging="907"/>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8" w15:restartNumberingAfterBreak="0">
    <w:nsid w:val="66D36C37"/>
    <w:multiLevelType w:val="hybridMultilevel"/>
    <w:tmpl w:val="6B587FD6"/>
    <w:lvl w:ilvl="0" w:tplc="0413000F">
      <w:start w:val="1"/>
      <w:numFmt w:val="decimal"/>
      <w:lvlText w:val="%1."/>
      <w:lvlJc w:val="left"/>
      <w:pPr>
        <w:ind w:left="2345" w:hanging="360"/>
      </w:p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abstractNum w:abstractNumId="19" w15:restartNumberingAfterBreak="0">
    <w:nsid w:val="70B404B3"/>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7C9D702F"/>
    <w:multiLevelType w:val="multilevel"/>
    <w:tmpl w:val="985A1D36"/>
    <w:lvl w:ilvl="0">
      <w:start w:val="1"/>
      <w:numFmt w:val="decimal"/>
      <w:lvlText w:val="%1."/>
      <w:lvlJc w:val="left"/>
      <w:pPr>
        <w:tabs>
          <w:tab w:val="num" w:pos="6400"/>
        </w:tabs>
        <w:ind w:left="1418" w:hanging="1418"/>
      </w:pPr>
      <w:rPr>
        <w:rFonts w:ascii="Roboto Slab" w:hAnsi="Roboto Slab" w:cs="Calibri" w:hint="default"/>
        <w:b/>
        <w:bCs/>
        <w:i w:val="0"/>
        <w:iCs w:val="0"/>
        <w:caps w:val="0"/>
        <w:smallCaps w:val="0"/>
        <w:strike w:val="0"/>
        <w:dstrike w:val="0"/>
        <w:color w:val="000000"/>
        <w:spacing w:val="0"/>
        <w:kern w:val="0"/>
        <w:position w:val="0"/>
        <w:sz w:val="18"/>
        <w:szCs w:val="18"/>
        <w:u w:val="none" w:color="000000"/>
        <w:vertAlign w:val="baseline"/>
        <w:rtl w:val="0"/>
        <w:lang w:val="nl-NL"/>
        <w14:textOutline w14:w="0" w14:cap="rnd" w14:cmpd="sng" w14:algn="ctr">
          <w14:noFill/>
          <w14:prstDash w14:val="solid"/>
          <w14:bevel/>
        </w14:textOutline>
      </w:rPr>
    </w:lvl>
    <w:lvl w:ilvl="1">
      <w:start w:val="1"/>
      <w:numFmt w:val="decimal"/>
      <w:lvlText w:val="%1.%2."/>
      <w:lvlJc w:val="left"/>
      <w:pPr>
        <w:tabs>
          <w:tab w:val="num" w:pos="6400"/>
        </w:tabs>
        <w:ind w:left="907" w:hanging="907"/>
      </w:pPr>
      <w:rPr>
        <w:rFonts w:ascii="Roboto Slab" w:eastAsia="Calibri" w:hAnsi="Roboto Slab" w:cs="Calibri" w:hint="default"/>
        <w:b w:val="0"/>
        <w:bCs w:val="0"/>
        <w:i w:val="0"/>
        <w:iCs w:val="0"/>
        <w:caps w:val="0"/>
        <w:smallCaps w:val="0"/>
        <w:strike w:val="0"/>
        <w:dstrike w:val="0"/>
        <w:color w:val="000000"/>
        <w:spacing w:val="0"/>
        <w:kern w:val="0"/>
        <w:position w:val="0"/>
        <w:sz w:val="18"/>
        <w:szCs w:val="18"/>
        <w:u w:val="none" w:color="000000"/>
        <w:vertAlign w:val="baseline"/>
        <w:rtl w:val="0"/>
        <w:lang w:val="nl-NL"/>
        <w14:textOutline w14:w="0" w14:cap="rnd" w14:cmpd="sng" w14:algn="ctr">
          <w14:noFill/>
          <w14:prstDash w14:val="solid"/>
          <w14:bevel/>
        </w14:textOutline>
      </w:rPr>
    </w:lvl>
    <w:lvl w:ilvl="2">
      <w:start w:val="1"/>
      <w:numFmt w:val="decimal"/>
      <w:lvlText w:val="%1.%2.%3."/>
      <w:lvlJc w:val="left"/>
      <w:pPr>
        <w:tabs>
          <w:tab w:val="num" w:pos="6400"/>
        </w:tabs>
        <w:ind w:left="907" w:hanging="907"/>
      </w:pPr>
      <w:rPr>
        <w:rFonts w:ascii="Roboto Slab Light" w:eastAsia="Calibri" w:hAnsi="Roboto Slab Light" w:cs="Calibri" w:hint="default"/>
        <w:b w:val="0"/>
        <w:bCs w:val="0"/>
        <w:i w:val="0"/>
        <w:iCs w:val="0"/>
        <w:caps w:val="0"/>
        <w:smallCaps w:val="0"/>
        <w:strike w:val="0"/>
        <w:dstrike w:val="0"/>
        <w:color w:val="000000"/>
        <w:spacing w:val="0"/>
        <w:kern w:val="0"/>
        <w:position w:val="0"/>
        <w:sz w:val="18"/>
        <w:szCs w:val="18"/>
        <w:u w:val="none" w:color="000000"/>
        <w:vertAlign w:val="baseline"/>
        <w:rtl w:val="0"/>
        <w:lang w:val="nl-NL"/>
        <w14:textOutline w14:w="0" w14:cap="rnd" w14:cmpd="sng" w14:algn="ctr">
          <w14:noFill/>
          <w14:prstDash w14:val="solid"/>
          <w14:bevel/>
        </w14:textOutline>
      </w:rPr>
    </w:lvl>
    <w:lvl w:ilvl="3">
      <w:start w:val="1"/>
      <w:numFmt w:val="decimal"/>
      <w:lvlText w:val="%4."/>
      <w:lvlJc w:val="left"/>
      <w:pPr>
        <w:ind w:left="2345" w:hanging="360"/>
      </w:pPr>
      <w:rPr>
        <w:rFonts w:hint="default"/>
        <w:b w:val="0"/>
        <w:bCs w:val="0"/>
        <w:i w:val="0"/>
        <w:iCs w:val="0"/>
        <w:caps w:val="0"/>
        <w:smallCaps w:val="0"/>
        <w:strike w:val="0"/>
        <w:dstrike w:val="0"/>
        <w:color w:val="000000"/>
        <w:spacing w:val="0"/>
        <w:kern w:val="0"/>
        <w:position w:val="0"/>
        <w:sz w:val="16"/>
        <w:szCs w:val="16"/>
        <w:u w:val="none" w:color="000000"/>
        <w:vertAlign w:val="baseline"/>
        <w:rtl w:val="0"/>
        <w:lang w:val="nl-NL"/>
        <w14:textOutline w14:w="0" w14:cap="rnd" w14:cmpd="sng" w14:algn="ctr">
          <w14:noFill/>
          <w14:prstDash w14:val="solid"/>
          <w14:bevel/>
        </w14:textOutline>
      </w:rPr>
    </w:lvl>
    <w:lvl w:ilvl="4">
      <w:start w:val="1"/>
      <w:numFmt w:val="none"/>
      <w:lvlText w:val=""/>
      <w:lvlJc w:val="left"/>
      <w:pPr>
        <w:tabs>
          <w:tab w:val="num" w:pos="6400"/>
        </w:tabs>
        <w:ind w:left="2268" w:hanging="2268"/>
      </w:pPr>
      <w:rPr>
        <w:rFonts w:asciiTheme="majorHAnsi" w:hAnsiTheme="majorHAnsi" w:hint="default"/>
        <w:b w:val="0"/>
        <w:bCs w:val="0"/>
        <w:i/>
        <w:iCs/>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5">
      <w:start w:val="1"/>
      <w:numFmt w:val="decimal"/>
      <w:lvlText w:val="%1.%2.%3.%4.%5.%6."/>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6">
      <w:start w:val="1"/>
      <w:numFmt w:val="decimal"/>
      <w:lvlText w:val="%1.%2.%3.%4.%5.%6.%7."/>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7">
      <w:start w:val="1"/>
      <w:numFmt w:val="decimal"/>
      <w:lvlText w:val="%1.%2.%3.%4.%5.%6.%7.%8."/>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lvl w:ilvl="8">
      <w:start w:val="1"/>
      <w:numFmt w:val="decimal"/>
      <w:lvlText w:val="%1.%2.%3.%4.%5.%6.%7.%8.%9."/>
      <w:lvlJc w:val="left"/>
      <w:pPr>
        <w:tabs>
          <w:tab w:val="num" w:pos="6400"/>
        </w:tabs>
        <w:ind w:left="0" w:firstLine="0"/>
      </w:pPr>
      <w:rPr>
        <w:rFonts w:ascii="Calibri" w:eastAsia="Calibri" w:hAnsi="Calibri" w:cs="Calibri" w:hint="default"/>
        <w:b w:val="0"/>
        <w:bCs w:val="0"/>
        <w:i w:val="0"/>
        <w:iCs w:val="0"/>
        <w:caps w:val="0"/>
        <w:smallCaps w:val="0"/>
        <w:strike w:val="0"/>
        <w:dstrike w:val="0"/>
        <w:color w:val="000000"/>
        <w:spacing w:val="0"/>
        <w:kern w:val="0"/>
        <w:position w:val="0"/>
        <w:sz w:val="22"/>
        <w:szCs w:val="22"/>
        <w:u w:val="none" w:color="000000"/>
        <w:vertAlign w:val="baseline"/>
        <w:rtl w:val="0"/>
        <w:lang w:val="nl-NL"/>
        <w14:textOutline w14:w="0" w14:cap="rnd" w14:cmpd="sng" w14:algn="ctr">
          <w14:noFill/>
          <w14:prstDash w14:val="solid"/>
          <w14:bevel/>
        </w14:textOutline>
      </w:rPr>
    </w:lvl>
  </w:abstractNum>
  <w:num w:numId="1">
    <w:abstractNumId w:val="19"/>
  </w:num>
  <w:num w:numId="2">
    <w:abstractNumId w:val="14"/>
  </w:num>
  <w:num w:numId="3">
    <w:abstractNumId w:val="11"/>
  </w:num>
  <w:num w:numId="4">
    <w:abstractNumId w:val="16"/>
  </w:num>
  <w:num w:numId="5">
    <w:abstractNumId w:val="9"/>
  </w:num>
  <w:num w:numId="6">
    <w:abstractNumId w:val="12"/>
  </w:num>
  <w:num w:numId="7">
    <w:abstractNumId w:val="15"/>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13"/>
  </w:num>
  <w:num w:numId="19">
    <w:abstractNumId w:val="13"/>
  </w:num>
  <w:num w:numId="20">
    <w:abstractNumId w:val="2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nl-NL" w:vendorID="64" w:dllVersion="4096" w:nlCheck="1" w:checkStyle="0"/>
  <w:activeWritingStyle w:appName="MSWord" w:lang="nl-NL" w:vendorID="1" w:dllVersion="512" w:checkStyle="1"/>
  <w:proofState w:spelling="clean"/>
  <w:defaultTabStop w:val="709"/>
  <w:hyphenationZone w:val="425"/>
  <w:doNotHyphenateCaps/>
  <w:drawingGridHorizontalSpacing w:val="187"/>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81"/>
    <w:rsid w:val="000013E7"/>
    <w:rsid w:val="000019A5"/>
    <w:rsid w:val="0000468C"/>
    <w:rsid w:val="00006487"/>
    <w:rsid w:val="0001067A"/>
    <w:rsid w:val="00022FFC"/>
    <w:rsid w:val="0002419C"/>
    <w:rsid w:val="0002702D"/>
    <w:rsid w:val="00027871"/>
    <w:rsid w:val="000317EA"/>
    <w:rsid w:val="00032A47"/>
    <w:rsid w:val="000333F0"/>
    <w:rsid w:val="00033416"/>
    <w:rsid w:val="00033803"/>
    <w:rsid w:val="00033D94"/>
    <w:rsid w:val="00034006"/>
    <w:rsid w:val="00035006"/>
    <w:rsid w:val="00042A3D"/>
    <w:rsid w:val="00042AA2"/>
    <w:rsid w:val="00042FA5"/>
    <w:rsid w:val="00044DED"/>
    <w:rsid w:val="00047D38"/>
    <w:rsid w:val="00051C53"/>
    <w:rsid w:val="00051FA9"/>
    <w:rsid w:val="000520CC"/>
    <w:rsid w:val="000543B2"/>
    <w:rsid w:val="000560E8"/>
    <w:rsid w:val="00057A82"/>
    <w:rsid w:val="00060F35"/>
    <w:rsid w:val="00061710"/>
    <w:rsid w:val="000622B8"/>
    <w:rsid w:val="00064E78"/>
    <w:rsid w:val="00065033"/>
    <w:rsid w:val="0006546F"/>
    <w:rsid w:val="0007021B"/>
    <w:rsid w:val="00072B3B"/>
    <w:rsid w:val="00076130"/>
    <w:rsid w:val="0007626C"/>
    <w:rsid w:val="000766A5"/>
    <w:rsid w:val="00081603"/>
    <w:rsid w:val="000828FA"/>
    <w:rsid w:val="000941B1"/>
    <w:rsid w:val="0009558D"/>
    <w:rsid w:val="000A09EE"/>
    <w:rsid w:val="000A4568"/>
    <w:rsid w:val="000A6058"/>
    <w:rsid w:val="000A6077"/>
    <w:rsid w:val="000B0CEB"/>
    <w:rsid w:val="000B3739"/>
    <w:rsid w:val="000B55B0"/>
    <w:rsid w:val="000B5620"/>
    <w:rsid w:val="000B5956"/>
    <w:rsid w:val="000B6B55"/>
    <w:rsid w:val="000B7F29"/>
    <w:rsid w:val="000C35AB"/>
    <w:rsid w:val="000C4AD1"/>
    <w:rsid w:val="000C7E90"/>
    <w:rsid w:val="000D0A26"/>
    <w:rsid w:val="000D39AE"/>
    <w:rsid w:val="000D6098"/>
    <w:rsid w:val="000E0592"/>
    <w:rsid w:val="000E132E"/>
    <w:rsid w:val="000E1885"/>
    <w:rsid w:val="000E2444"/>
    <w:rsid w:val="000E2FE6"/>
    <w:rsid w:val="000E4570"/>
    <w:rsid w:val="000E5764"/>
    <w:rsid w:val="000E6524"/>
    <w:rsid w:val="000F1567"/>
    <w:rsid w:val="000F4611"/>
    <w:rsid w:val="000F4640"/>
    <w:rsid w:val="000F4D53"/>
    <w:rsid w:val="000F669B"/>
    <w:rsid w:val="000F752C"/>
    <w:rsid w:val="000F77BE"/>
    <w:rsid w:val="001024FB"/>
    <w:rsid w:val="00105EA4"/>
    <w:rsid w:val="001104CB"/>
    <w:rsid w:val="00114401"/>
    <w:rsid w:val="00115F9A"/>
    <w:rsid w:val="00117F3F"/>
    <w:rsid w:val="001229A5"/>
    <w:rsid w:val="00124410"/>
    <w:rsid w:val="00127770"/>
    <w:rsid w:val="00134F27"/>
    <w:rsid w:val="00135B4A"/>
    <w:rsid w:val="00136F03"/>
    <w:rsid w:val="00140CD5"/>
    <w:rsid w:val="001447E4"/>
    <w:rsid w:val="00144ED7"/>
    <w:rsid w:val="00146BFA"/>
    <w:rsid w:val="00152951"/>
    <w:rsid w:val="001529C3"/>
    <w:rsid w:val="0016201C"/>
    <w:rsid w:val="00163CE4"/>
    <w:rsid w:val="00166244"/>
    <w:rsid w:val="00173321"/>
    <w:rsid w:val="00175276"/>
    <w:rsid w:val="00175E43"/>
    <w:rsid w:val="001767F5"/>
    <w:rsid w:val="00176D3A"/>
    <w:rsid w:val="00184905"/>
    <w:rsid w:val="00186446"/>
    <w:rsid w:val="00187186"/>
    <w:rsid w:val="00191E1C"/>
    <w:rsid w:val="0019518B"/>
    <w:rsid w:val="00195350"/>
    <w:rsid w:val="00197EE9"/>
    <w:rsid w:val="001A03CC"/>
    <w:rsid w:val="001A3333"/>
    <w:rsid w:val="001A4945"/>
    <w:rsid w:val="001B0B5D"/>
    <w:rsid w:val="001B2263"/>
    <w:rsid w:val="001B2363"/>
    <w:rsid w:val="001B43E6"/>
    <w:rsid w:val="001C1FA3"/>
    <w:rsid w:val="001C344E"/>
    <w:rsid w:val="001C5D53"/>
    <w:rsid w:val="001D0F80"/>
    <w:rsid w:val="001D194A"/>
    <w:rsid w:val="001D4A5E"/>
    <w:rsid w:val="001E2423"/>
    <w:rsid w:val="001E44BA"/>
    <w:rsid w:val="001E4B8D"/>
    <w:rsid w:val="001E4CCC"/>
    <w:rsid w:val="001E4EB0"/>
    <w:rsid w:val="001E5605"/>
    <w:rsid w:val="001E6FB4"/>
    <w:rsid w:val="001F285D"/>
    <w:rsid w:val="001F3F38"/>
    <w:rsid w:val="001F69F6"/>
    <w:rsid w:val="001F73BB"/>
    <w:rsid w:val="002012AE"/>
    <w:rsid w:val="0021289B"/>
    <w:rsid w:val="0022059B"/>
    <w:rsid w:val="002237D0"/>
    <w:rsid w:val="00225FC7"/>
    <w:rsid w:val="002277E3"/>
    <w:rsid w:val="00233192"/>
    <w:rsid w:val="00234B25"/>
    <w:rsid w:val="00235D24"/>
    <w:rsid w:val="00236BC7"/>
    <w:rsid w:val="00240132"/>
    <w:rsid w:val="00240DD3"/>
    <w:rsid w:val="00241F60"/>
    <w:rsid w:val="00242230"/>
    <w:rsid w:val="00244424"/>
    <w:rsid w:val="00244676"/>
    <w:rsid w:val="00245701"/>
    <w:rsid w:val="00245AC0"/>
    <w:rsid w:val="00246FED"/>
    <w:rsid w:val="0024720C"/>
    <w:rsid w:val="002510CA"/>
    <w:rsid w:val="00251ACD"/>
    <w:rsid w:val="00252B57"/>
    <w:rsid w:val="002531A6"/>
    <w:rsid w:val="002532CC"/>
    <w:rsid w:val="0026133E"/>
    <w:rsid w:val="00264ABB"/>
    <w:rsid w:val="00265596"/>
    <w:rsid w:val="00266032"/>
    <w:rsid w:val="00266568"/>
    <w:rsid w:val="002666FF"/>
    <w:rsid w:val="00266E9E"/>
    <w:rsid w:val="00270EA8"/>
    <w:rsid w:val="00271B1E"/>
    <w:rsid w:val="00272420"/>
    <w:rsid w:val="00275151"/>
    <w:rsid w:val="00280B1F"/>
    <w:rsid w:val="00280FFB"/>
    <w:rsid w:val="0028253A"/>
    <w:rsid w:val="00283D83"/>
    <w:rsid w:val="002858F4"/>
    <w:rsid w:val="00292A16"/>
    <w:rsid w:val="0029372D"/>
    <w:rsid w:val="00294244"/>
    <w:rsid w:val="002950B8"/>
    <w:rsid w:val="00295622"/>
    <w:rsid w:val="002A2FD0"/>
    <w:rsid w:val="002A4E4B"/>
    <w:rsid w:val="002A5A5D"/>
    <w:rsid w:val="002A6A8E"/>
    <w:rsid w:val="002A6D3A"/>
    <w:rsid w:val="002B0243"/>
    <w:rsid w:val="002B0879"/>
    <w:rsid w:val="002B2FA3"/>
    <w:rsid w:val="002B51E6"/>
    <w:rsid w:val="002B65BC"/>
    <w:rsid w:val="002C1857"/>
    <w:rsid w:val="002C4BD2"/>
    <w:rsid w:val="002C74D2"/>
    <w:rsid w:val="002D0014"/>
    <w:rsid w:val="002D106F"/>
    <w:rsid w:val="002D30B1"/>
    <w:rsid w:val="002D454B"/>
    <w:rsid w:val="002D5888"/>
    <w:rsid w:val="002E1416"/>
    <w:rsid w:val="002E15D6"/>
    <w:rsid w:val="002E5721"/>
    <w:rsid w:val="002E58C5"/>
    <w:rsid w:val="002E60DF"/>
    <w:rsid w:val="002E661E"/>
    <w:rsid w:val="002F05F4"/>
    <w:rsid w:val="002F2AE7"/>
    <w:rsid w:val="002F62D7"/>
    <w:rsid w:val="002F78EB"/>
    <w:rsid w:val="003037A6"/>
    <w:rsid w:val="0030383B"/>
    <w:rsid w:val="00303B30"/>
    <w:rsid w:val="003043B9"/>
    <w:rsid w:val="00304C00"/>
    <w:rsid w:val="00304E2C"/>
    <w:rsid w:val="00305FE3"/>
    <w:rsid w:val="00307978"/>
    <w:rsid w:val="00310463"/>
    <w:rsid w:val="00314C6F"/>
    <w:rsid w:val="0031553C"/>
    <w:rsid w:val="00322B67"/>
    <w:rsid w:val="00322D43"/>
    <w:rsid w:val="00324864"/>
    <w:rsid w:val="0032555B"/>
    <w:rsid w:val="00326576"/>
    <w:rsid w:val="003269D3"/>
    <w:rsid w:val="00326DBD"/>
    <w:rsid w:val="00331BDB"/>
    <w:rsid w:val="00332359"/>
    <w:rsid w:val="003332C3"/>
    <w:rsid w:val="00333CE4"/>
    <w:rsid w:val="00335E8D"/>
    <w:rsid w:val="00335F33"/>
    <w:rsid w:val="003362B9"/>
    <w:rsid w:val="00342258"/>
    <w:rsid w:val="00345169"/>
    <w:rsid w:val="0034551B"/>
    <w:rsid w:val="00350032"/>
    <w:rsid w:val="0035150F"/>
    <w:rsid w:val="00351571"/>
    <w:rsid w:val="00366481"/>
    <w:rsid w:val="00373313"/>
    <w:rsid w:val="00374FFC"/>
    <w:rsid w:val="003759EC"/>
    <w:rsid w:val="00377978"/>
    <w:rsid w:val="00377B03"/>
    <w:rsid w:val="0038037D"/>
    <w:rsid w:val="00382CBA"/>
    <w:rsid w:val="0038392A"/>
    <w:rsid w:val="0038670C"/>
    <w:rsid w:val="003872DB"/>
    <w:rsid w:val="003879EC"/>
    <w:rsid w:val="00390E9E"/>
    <w:rsid w:val="003933DC"/>
    <w:rsid w:val="00396931"/>
    <w:rsid w:val="003975C5"/>
    <w:rsid w:val="003A41B7"/>
    <w:rsid w:val="003A53AB"/>
    <w:rsid w:val="003A7189"/>
    <w:rsid w:val="003B025C"/>
    <w:rsid w:val="003B0784"/>
    <w:rsid w:val="003B357B"/>
    <w:rsid w:val="003B3B59"/>
    <w:rsid w:val="003C0D11"/>
    <w:rsid w:val="003C2721"/>
    <w:rsid w:val="003C32FA"/>
    <w:rsid w:val="003C731F"/>
    <w:rsid w:val="003D4DC0"/>
    <w:rsid w:val="003D4F4A"/>
    <w:rsid w:val="003D7AB6"/>
    <w:rsid w:val="003E0B3A"/>
    <w:rsid w:val="003E14D9"/>
    <w:rsid w:val="003E730E"/>
    <w:rsid w:val="003E741D"/>
    <w:rsid w:val="003F0B19"/>
    <w:rsid w:val="003F10CA"/>
    <w:rsid w:val="003F2080"/>
    <w:rsid w:val="00400477"/>
    <w:rsid w:val="00402AA1"/>
    <w:rsid w:val="004118B1"/>
    <w:rsid w:val="00414236"/>
    <w:rsid w:val="004240C0"/>
    <w:rsid w:val="00424C18"/>
    <w:rsid w:val="004255A5"/>
    <w:rsid w:val="00425CC9"/>
    <w:rsid w:val="004265B9"/>
    <w:rsid w:val="00431812"/>
    <w:rsid w:val="004402B6"/>
    <w:rsid w:val="00440A29"/>
    <w:rsid w:val="00441E86"/>
    <w:rsid w:val="00443C4E"/>
    <w:rsid w:val="004453F9"/>
    <w:rsid w:val="004468FF"/>
    <w:rsid w:val="00450D6E"/>
    <w:rsid w:val="00452E99"/>
    <w:rsid w:val="00455007"/>
    <w:rsid w:val="004579BF"/>
    <w:rsid w:val="004635AF"/>
    <w:rsid w:val="00464E98"/>
    <w:rsid w:val="00465B65"/>
    <w:rsid w:val="00465F9B"/>
    <w:rsid w:val="00470A85"/>
    <w:rsid w:val="004733CB"/>
    <w:rsid w:val="00475BC0"/>
    <w:rsid w:val="00480088"/>
    <w:rsid w:val="00481CE8"/>
    <w:rsid w:val="00482112"/>
    <w:rsid w:val="004901C0"/>
    <w:rsid w:val="004947B5"/>
    <w:rsid w:val="00494C0F"/>
    <w:rsid w:val="00495CF3"/>
    <w:rsid w:val="00496C56"/>
    <w:rsid w:val="00496C78"/>
    <w:rsid w:val="00497534"/>
    <w:rsid w:val="00497961"/>
    <w:rsid w:val="004A0288"/>
    <w:rsid w:val="004A1261"/>
    <w:rsid w:val="004A1849"/>
    <w:rsid w:val="004A2CE1"/>
    <w:rsid w:val="004A6A63"/>
    <w:rsid w:val="004A7CB0"/>
    <w:rsid w:val="004B1467"/>
    <w:rsid w:val="004B3D4C"/>
    <w:rsid w:val="004C1D93"/>
    <w:rsid w:val="004D117E"/>
    <w:rsid w:val="004D1B33"/>
    <w:rsid w:val="004D28CC"/>
    <w:rsid w:val="004D6B88"/>
    <w:rsid w:val="004D747A"/>
    <w:rsid w:val="004E04CD"/>
    <w:rsid w:val="004E1F26"/>
    <w:rsid w:val="004E25E3"/>
    <w:rsid w:val="004E2B30"/>
    <w:rsid w:val="004E3766"/>
    <w:rsid w:val="004E44F3"/>
    <w:rsid w:val="004F0E94"/>
    <w:rsid w:val="004F2B25"/>
    <w:rsid w:val="004F39FD"/>
    <w:rsid w:val="004F4734"/>
    <w:rsid w:val="00504514"/>
    <w:rsid w:val="005057CD"/>
    <w:rsid w:val="00512840"/>
    <w:rsid w:val="005158F9"/>
    <w:rsid w:val="0051697B"/>
    <w:rsid w:val="00517911"/>
    <w:rsid w:val="0052142E"/>
    <w:rsid w:val="005236B3"/>
    <w:rsid w:val="00524CC7"/>
    <w:rsid w:val="0052764D"/>
    <w:rsid w:val="00531B82"/>
    <w:rsid w:val="00544BB5"/>
    <w:rsid w:val="005463F1"/>
    <w:rsid w:val="00546EB6"/>
    <w:rsid w:val="00547301"/>
    <w:rsid w:val="0054758A"/>
    <w:rsid w:val="00551118"/>
    <w:rsid w:val="00553152"/>
    <w:rsid w:val="005652B0"/>
    <w:rsid w:val="00567F3A"/>
    <w:rsid w:val="00572171"/>
    <w:rsid w:val="00577067"/>
    <w:rsid w:val="005776A5"/>
    <w:rsid w:val="005806D2"/>
    <w:rsid w:val="00580BE7"/>
    <w:rsid w:val="00591562"/>
    <w:rsid w:val="005925E6"/>
    <w:rsid w:val="00597844"/>
    <w:rsid w:val="00597C2A"/>
    <w:rsid w:val="005A19C2"/>
    <w:rsid w:val="005A2908"/>
    <w:rsid w:val="005A2AF3"/>
    <w:rsid w:val="005A3EE5"/>
    <w:rsid w:val="005A6CED"/>
    <w:rsid w:val="005A6DFC"/>
    <w:rsid w:val="005B3E15"/>
    <w:rsid w:val="005C1268"/>
    <w:rsid w:val="005C2008"/>
    <w:rsid w:val="005C2BFB"/>
    <w:rsid w:val="005C41EE"/>
    <w:rsid w:val="005C6CEB"/>
    <w:rsid w:val="005D0568"/>
    <w:rsid w:val="005D1374"/>
    <w:rsid w:val="005D21FD"/>
    <w:rsid w:val="005D37B2"/>
    <w:rsid w:val="005D4810"/>
    <w:rsid w:val="005D4EA5"/>
    <w:rsid w:val="005D4FAB"/>
    <w:rsid w:val="005E13B2"/>
    <w:rsid w:val="005E172B"/>
    <w:rsid w:val="005E3595"/>
    <w:rsid w:val="005E63EC"/>
    <w:rsid w:val="005E74E5"/>
    <w:rsid w:val="005F0A18"/>
    <w:rsid w:val="005F1011"/>
    <w:rsid w:val="005F1606"/>
    <w:rsid w:val="005F6CA4"/>
    <w:rsid w:val="005F75F5"/>
    <w:rsid w:val="00602661"/>
    <w:rsid w:val="00605447"/>
    <w:rsid w:val="006108FD"/>
    <w:rsid w:val="00611C29"/>
    <w:rsid w:val="00611F94"/>
    <w:rsid w:val="0061377E"/>
    <w:rsid w:val="0061425A"/>
    <w:rsid w:val="00614616"/>
    <w:rsid w:val="00614C1F"/>
    <w:rsid w:val="00617FB4"/>
    <w:rsid w:val="00620565"/>
    <w:rsid w:val="00620720"/>
    <w:rsid w:val="006215FD"/>
    <w:rsid w:val="00621B54"/>
    <w:rsid w:val="0062448F"/>
    <w:rsid w:val="00626501"/>
    <w:rsid w:val="006271C1"/>
    <w:rsid w:val="0062748E"/>
    <w:rsid w:val="00632DC5"/>
    <w:rsid w:val="006341A8"/>
    <w:rsid w:val="0063425A"/>
    <w:rsid w:val="00642A66"/>
    <w:rsid w:val="00646B7E"/>
    <w:rsid w:val="0065102A"/>
    <w:rsid w:val="006517B3"/>
    <w:rsid w:val="0065334C"/>
    <w:rsid w:val="00653659"/>
    <w:rsid w:val="00653D8C"/>
    <w:rsid w:val="006645C7"/>
    <w:rsid w:val="00665191"/>
    <w:rsid w:val="00670A59"/>
    <w:rsid w:val="00673F9A"/>
    <w:rsid w:val="006745D0"/>
    <w:rsid w:val="00680FC4"/>
    <w:rsid w:val="006849EC"/>
    <w:rsid w:val="006868BB"/>
    <w:rsid w:val="00690C33"/>
    <w:rsid w:val="00690D76"/>
    <w:rsid w:val="00692C96"/>
    <w:rsid w:val="00697EC7"/>
    <w:rsid w:val="006A095E"/>
    <w:rsid w:val="006A1517"/>
    <w:rsid w:val="006A76FC"/>
    <w:rsid w:val="006A7A3E"/>
    <w:rsid w:val="006A7A49"/>
    <w:rsid w:val="006B0506"/>
    <w:rsid w:val="006B0BAC"/>
    <w:rsid w:val="006B37DD"/>
    <w:rsid w:val="006B4A8D"/>
    <w:rsid w:val="006B632A"/>
    <w:rsid w:val="006B6502"/>
    <w:rsid w:val="006B6671"/>
    <w:rsid w:val="006D0B83"/>
    <w:rsid w:val="006D45ED"/>
    <w:rsid w:val="006D65A9"/>
    <w:rsid w:val="006D73C1"/>
    <w:rsid w:val="006E2CFF"/>
    <w:rsid w:val="006E3913"/>
    <w:rsid w:val="006E5E1C"/>
    <w:rsid w:val="006E61B5"/>
    <w:rsid w:val="006E733C"/>
    <w:rsid w:val="006F0AF4"/>
    <w:rsid w:val="006F321B"/>
    <w:rsid w:val="006F5000"/>
    <w:rsid w:val="006F76B4"/>
    <w:rsid w:val="007049EB"/>
    <w:rsid w:val="007052A3"/>
    <w:rsid w:val="00706E1E"/>
    <w:rsid w:val="00710921"/>
    <w:rsid w:val="00711905"/>
    <w:rsid w:val="00712F11"/>
    <w:rsid w:val="00716555"/>
    <w:rsid w:val="00720F2C"/>
    <w:rsid w:val="0072170F"/>
    <w:rsid w:val="00724E6C"/>
    <w:rsid w:val="00726E29"/>
    <w:rsid w:val="007301B1"/>
    <w:rsid w:val="00734F36"/>
    <w:rsid w:val="00740005"/>
    <w:rsid w:val="007406D0"/>
    <w:rsid w:val="0074323D"/>
    <w:rsid w:val="00744945"/>
    <w:rsid w:val="00744960"/>
    <w:rsid w:val="00744D9E"/>
    <w:rsid w:val="007509A2"/>
    <w:rsid w:val="00750D08"/>
    <w:rsid w:val="00763744"/>
    <w:rsid w:val="007667AF"/>
    <w:rsid w:val="0076680E"/>
    <w:rsid w:val="00773043"/>
    <w:rsid w:val="00774E7B"/>
    <w:rsid w:val="0077744C"/>
    <w:rsid w:val="00781210"/>
    <w:rsid w:val="007822DD"/>
    <w:rsid w:val="00782818"/>
    <w:rsid w:val="00783E43"/>
    <w:rsid w:val="0078404F"/>
    <w:rsid w:val="0078502B"/>
    <w:rsid w:val="00786871"/>
    <w:rsid w:val="00796AD1"/>
    <w:rsid w:val="0079731D"/>
    <w:rsid w:val="007A1BBA"/>
    <w:rsid w:val="007A2CC7"/>
    <w:rsid w:val="007A33C1"/>
    <w:rsid w:val="007A45D4"/>
    <w:rsid w:val="007A49D0"/>
    <w:rsid w:val="007A6558"/>
    <w:rsid w:val="007A6B55"/>
    <w:rsid w:val="007A6E25"/>
    <w:rsid w:val="007A7C7B"/>
    <w:rsid w:val="007B0006"/>
    <w:rsid w:val="007B250D"/>
    <w:rsid w:val="007B3CE6"/>
    <w:rsid w:val="007B6747"/>
    <w:rsid w:val="007C5101"/>
    <w:rsid w:val="007D192A"/>
    <w:rsid w:val="007D3177"/>
    <w:rsid w:val="007D4B7B"/>
    <w:rsid w:val="007D5B8E"/>
    <w:rsid w:val="007D5C2D"/>
    <w:rsid w:val="007D5ED0"/>
    <w:rsid w:val="007D7181"/>
    <w:rsid w:val="007E0DC3"/>
    <w:rsid w:val="007E0DEF"/>
    <w:rsid w:val="007E1939"/>
    <w:rsid w:val="007E2C3E"/>
    <w:rsid w:val="007E2FFC"/>
    <w:rsid w:val="007E4EAE"/>
    <w:rsid w:val="007F053A"/>
    <w:rsid w:val="00800658"/>
    <w:rsid w:val="0080280C"/>
    <w:rsid w:val="00807990"/>
    <w:rsid w:val="00811975"/>
    <w:rsid w:val="00812B9F"/>
    <w:rsid w:val="00813027"/>
    <w:rsid w:val="00813737"/>
    <w:rsid w:val="0081569C"/>
    <w:rsid w:val="008164B2"/>
    <w:rsid w:val="00816510"/>
    <w:rsid w:val="008217E9"/>
    <w:rsid w:val="00821C44"/>
    <w:rsid w:val="0082265D"/>
    <w:rsid w:val="008252F9"/>
    <w:rsid w:val="0082532F"/>
    <w:rsid w:val="00827106"/>
    <w:rsid w:val="008301D7"/>
    <w:rsid w:val="008308A0"/>
    <w:rsid w:val="00832AFD"/>
    <w:rsid w:val="00832E40"/>
    <w:rsid w:val="00834715"/>
    <w:rsid w:val="008365FC"/>
    <w:rsid w:val="008375A1"/>
    <w:rsid w:val="008442EA"/>
    <w:rsid w:val="00845547"/>
    <w:rsid w:val="00846FBC"/>
    <w:rsid w:val="008566C5"/>
    <w:rsid w:val="00860EBF"/>
    <w:rsid w:val="00864BCA"/>
    <w:rsid w:val="00866985"/>
    <w:rsid w:val="008676AB"/>
    <w:rsid w:val="00874D84"/>
    <w:rsid w:val="0087528D"/>
    <w:rsid w:val="00876A94"/>
    <w:rsid w:val="00877B51"/>
    <w:rsid w:val="00881C15"/>
    <w:rsid w:val="00885BC3"/>
    <w:rsid w:val="008A17CD"/>
    <w:rsid w:val="008A2780"/>
    <w:rsid w:val="008A4630"/>
    <w:rsid w:val="008A4701"/>
    <w:rsid w:val="008A4D68"/>
    <w:rsid w:val="008A4E3D"/>
    <w:rsid w:val="008A66C8"/>
    <w:rsid w:val="008B01C5"/>
    <w:rsid w:val="008B0CA8"/>
    <w:rsid w:val="008B21A1"/>
    <w:rsid w:val="008B353A"/>
    <w:rsid w:val="008B4909"/>
    <w:rsid w:val="008B6183"/>
    <w:rsid w:val="008B69EF"/>
    <w:rsid w:val="008C0B11"/>
    <w:rsid w:val="008C1975"/>
    <w:rsid w:val="008C7D83"/>
    <w:rsid w:val="008D4B29"/>
    <w:rsid w:val="008D7F29"/>
    <w:rsid w:val="008E0A77"/>
    <w:rsid w:val="008E14B3"/>
    <w:rsid w:val="008E1D68"/>
    <w:rsid w:val="008F12AE"/>
    <w:rsid w:val="008F1FAC"/>
    <w:rsid w:val="008F2081"/>
    <w:rsid w:val="008F2CCE"/>
    <w:rsid w:val="00901091"/>
    <w:rsid w:val="00904F09"/>
    <w:rsid w:val="00906184"/>
    <w:rsid w:val="009102D2"/>
    <w:rsid w:val="0091148E"/>
    <w:rsid w:val="00912833"/>
    <w:rsid w:val="00913318"/>
    <w:rsid w:val="009157E4"/>
    <w:rsid w:val="00916BE0"/>
    <w:rsid w:val="009179C4"/>
    <w:rsid w:val="0093230E"/>
    <w:rsid w:val="00935192"/>
    <w:rsid w:val="009352A1"/>
    <w:rsid w:val="00935638"/>
    <w:rsid w:val="00937967"/>
    <w:rsid w:val="00937D10"/>
    <w:rsid w:val="00942510"/>
    <w:rsid w:val="00942BA4"/>
    <w:rsid w:val="00946C35"/>
    <w:rsid w:val="00954A15"/>
    <w:rsid w:val="00955C52"/>
    <w:rsid w:val="00963A1E"/>
    <w:rsid w:val="00964E39"/>
    <w:rsid w:val="00965F9F"/>
    <w:rsid w:val="009707B2"/>
    <w:rsid w:val="009717E6"/>
    <w:rsid w:val="00971D9A"/>
    <w:rsid w:val="00972182"/>
    <w:rsid w:val="00972787"/>
    <w:rsid w:val="00973491"/>
    <w:rsid w:val="00975AA9"/>
    <w:rsid w:val="00980214"/>
    <w:rsid w:val="00980844"/>
    <w:rsid w:val="00981952"/>
    <w:rsid w:val="00986FAA"/>
    <w:rsid w:val="00996898"/>
    <w:rsid w:val="0099791A"/>
    <w:rsid w:val="009A0D5F"/>
    <w:rsid w:val="009A271F"/>
    <w:rsid w:val="009A451B"/>
    <w:rsid w:val="009B0602"/>
    <w:rsid w:val="009B1773"/>
    <w:rsid w:val="009C097F"/>
    <w:rsid w:val="009C2445"/>
    <w:rsid w:val="009C45A6"/>
    <w:rsid w:val="009C4B0E"/>
    <w:rsid w:val="009C65AE"/>
    <w:rsid w:val="009D2B55"/>
    <w:rsid w:val="009D5DF4"/>
    <w:rsid w:val="009D6F48"/>
    <w:rsid w:val="009D72EC"/>
    <w:rsid w:val="009E111C"/>
    <w:rsid w:val="009E4A54"/>
    <w:rsid w:val="009E599D"/>
    <w:rsid w:val="009F1D99"/>
    <w:rsid w:val="009F50E7"/>
    <w:rsid w:val="009F522E"/>
    <w:rsid w:val="00A05723"/>
    <w:rsid w:val="00A05898"/>
    <w:rsid w:val="00A129EB"/>
    <w:rsid w:val="00A16186"/>
    <w:rsid w:val="00A2229F"/>
    <w:rsid w:val="00A237E0"/>
    <w:rsid w:val="00A25AF5"/>
    <w:rsid w:val="00A301B9"/>
    <w:rsid w:val="00A3489F"/>
    <w:rsid w:val="00A36EE5"/>
    <w:rsid w:val="00A3736C"/>
    <w:rsid w:val="00A3794E"/>
    <w:rsid w:val="00A40B96"/>
    <w:rsid w:val="00A428E9"/>
    <w:rsid w:val="00A45D47"/>
    <w:rsid w:val="00A50C7A"/>
    <w:rsid w:val="00A515E6"/>
    <w:rsid w:val="00A54258"/>
    <w:rsid w:val="00A55898"/>
    <w:rsid w:val="00A57346"/>
    <w:rsid w:val="00A57EE1"/>
    <w:rsid w:val="00A57F86"/>
    <w:rsid w:val="00A64C54"/>
    <w:rsid w:val="00A662F8"/>
    <w:rsid w:val="00A67F15"/>
    <w:rsid w:val="00A71FC0"/>
    <w:rsid w:val="00A72A17"/>
    <w:rsid w:val="00A73FB2"/>
    <w:rsid w:val="00A758ED"/>
    <w:rsid w:val="00A80CE7"/>
    <w:rsid w:val="00A8281F"/>
    <w:rsid w:val="00A837E8"/>
    <w:rsid w:val="00A856AC"/>
    <w:rsid w:val="00A87FDE"/>
    <w:rsid w:val="00A93E2C"/>
    <w:rsid w:val="00A9449E"/>
    <w:rsid w:val="00A949AB"/>
    <w:rsid w:val="00A95BB3"/>
    <w:rsid w:val="00A96616"/>
    <w:rsid w:val="00AA3132"/>
    <w:rsid w:val="00AA36CD"/>
    <w:rsid w:val="00AA75AB"/>
    <w:rsid w:val="00AB18DF"/>
    <w:rsid w:val="00AB46A6"/>
    <w:rsid w:val="00AB48CF"/>
    <w:rsid w:val="00AC1C62"/>
    <w:rsid w:val="00AC256E"/>
    <w:rsid w:val="00AC46D2"/>
    <w:rsid w:val="00AC5B22"/>
    <w:rsid w:val="00AD02BD"/>
    <w:rsid w:val="00AD0D5B"/>
    <w:rsid w:val="00AD342F"/>
    <w:rsid w:val="00AD664C"/>
    <w:rsid w:val="00AE7585"/>
    <w:rsid w:val="00AF009A"/>
    <w:rsid w:val="00AF2459"/>
    <w:rsid w:val="00AF5DF9"/>
    <w:rsid w:val="00B0634F"/>
    <w:rsid w:val="00B10830"/>
    <w:rsid w:val="00B10AC9"/>
    <w:rsid w:val="00B13CBD"/>
    <w:rsid w:val="00B1682C"/>
    <w:rsid w:val="00B1770F"/>
    <w:rsid w:val="00B17C38"/>
    <w:rsid w:val="00B21C67"/>
    <w:rsid w:val="00B243A4"/>
    <w:rsid w:val="00B25EF3"/>
    <w:rsid w:val="00B27A7C"/>
    <w:rsid w:val="00B3032A"/>
    <w:rsid w:val="00B32395"/>
    <w:rsid w:val="00B3497E"/>
    <w:rsid w:val="00B35CFA"/>
    <w:rsid w:val="00B3627E"/>
    <w:rsid w:val="00B4221C"/>
    <w:rsid w:val="00B43DC6"/>
    <w:rsid w:val="00B44AD4"/>
    <w:rsid w:val="00B53B4D"/>
    <w:rsid w:val="00B65221"/>
    <w:rsid w:val="00B7293F"/>
    <w:rsid w:val="00B73ABF"/>
    <w:rsid w:val="00B82B87"/>
    <w:rsid w:val="00B82D6A"/>
    <w:rsid w:val="00B83528"/>
    <w:rsid w:val="00B83817"/>
    <w:rsid w:val="00B84A04"/>
    <w:rsid w:val="00B8666F"/>
    <w:rsid w:val="00B86C57"/>
    <w:rsid w:val="00B90656"/>
    <w:rsid w:val="00B91507"/>
    <w:rsid w:val="00B94207"/>
    <w:rsid w:val="00B94496"/>
    <w:rsid w:val="00BA1177"/>
    <w:rsid w:val="00BA3F16"/>
    <w:rsid w:val="00BA56C4"/>
    <w:rsid w:val="00BA6C68"/>
    <w:rsid w:val="00BB2458"/>
    <w:rsid w:val="00BB3F55"/>
    <w:rsid w:val="00BB4632"/>
    <w:rsid w:val="00BB67FD"/>
    <w:rsid w:val="00BB7DD9"/>
    <w:rsid w:val="00BC3E4B"/>
    <w:rsid w:val="00BC3F0F"/>
    <w:rsid w:val="00BC4190"/>
    <w:rsid w:val="00BC75B7"/>
    <w:rsid w:val="00BD0C4D"/>
    <w:rsid w:val="00BD140E"/>
    <w:rsid w:val="00BD53A2"/>
    <w:rsid w:val="00BD5A11"/>
    <w:rsid w:val="00BD7B1B"/>
    <w:rsid w:val="00BE53C3"/>
    <w:rsid w:val="00BE696C"/>
    <w:rsid w:val="00BF0B27"/>
    <w:rsid w:val="00BF268C"/>
    <w:rsid w:val="00BF2BE9"/>
    <w:rsid w:val="00BF5A07"/>
    <w:rsid w:val="00BF74B0"/>
    <w:rsid w:val="00BF796B"/>
    <w:rsid w:val="00C010A0"/>
    <w:rsid w:val="00C02782"/>
    <w:rsid w:val="00C0541A"/>
    <w:rsid w:val="00C131B4"/>
    <w:rsid w:val="00C13BF1"/>
    <w:rsid w:val="00C26BF8"/>
    <w:rsid w:val="00C270C0"/>
    <w:rsid w:val="00C312E3"/>
    <w:rsid w:val="00C326FD"/>
    <w:rsid w:val="00C328CB"/>
    <w:rsid w:val="00C339BE"/>
    <w:rsid w:val="00C37C33"/>
    <w:rsid w:val="00C41C70"/>
    <w:rsid w:val="00C42CB7"/>
    <w:rsid w:val="00C474CF"/>
    <w:rsid w:val="00C50264"/>
    <w:rsid w:val="00C51FAB"/>
    <w:rsid w:val="00C52E17"/>
    <w:rsid w:val="00C533DF"/>
    <w:rsid w:val="00C6032A"/>
    <w:rsid w:val="00C66BFC"/>
    <w:rsid w:val="00C67B12"/>
    <w:rsid w:val="00C67CBF"/>
    <w:rsid w:val="00C731E8"/>
    <w:rsid w:val="00C764DA"/>
    <w:rsid w:val="00C77708"/>
    <w:rsid w:val="00C8102A"/>
    <w:rsid w:val="00C83FDF"/>
    <w:rsid w:val="00C86685"/>
    <w:rsid w:val="00C86B3B"/>
    <w:rsid w:val="00C90C42"/>
    <w:rsid w:val="00C91315"/>
    <w:rsid w:val="00C928C0"/>
    <w:rsid w:val="00C94C1A"/>
    <w:rsid w:val="00C9622D"/>
    <w:rsid w:val="00CA2851"/>
    <w:rsid w:val="00CA58CC"/>
    <w:rsid w:val="00CA777B"/>
    <w:rsid w:val="00CA79FC"/>
    <w:rsid w:val="00CB116A"/>
    <w:rsid w:val="00CB307C"/>
    <w:rsid w:val="00CB4312"/>
    <w:rsid w:val="00CB5914"/>
    <w:rsid w:val="00CB592C"/>
    <w:rsid w:val="00CB6134"/>
    <w:rsid w:val="00CB7EF4"/>
    <w:rsid w:val="00CC0C44"/>
    <w:rsid w:val="00CC5612"/>
    <w:rsid w:val="00CD127C"/>
    <w:rsid w:val="00CD2AE6"/>
    <w:rsid w:val="00CD3F68"/>
    <w:rsid w:val="00CD431F"/>
    <w:rsid w:val="00CD7069"/>
    <w:rsid w:val="00CE0726"/>
    <w:rsid w:val="00CE7E9A"/>
    <w:rsid w:val="00CF00DD"/>
    <w:rsid w:val="00CF1E5B"/>
    <w:rsid w:val="00CF2BA1"/>
    <w:rsid w:val="00CF2BF7"/>
    <w:rsid w:val="00CF5675"/>
    <w:rsid w:val="00CF7553"/>
    <w:rsid w:val="00D03C79"/>
    <w:rsid w:val="00D06DBA"/>
    <w:rsid w:val="00D11795"/>
    <w:rsid w:val="00D150DC"/>
    <w:rsid w:val="00D1753F"/>
    <w:rsid w:val="00D17D2C"/>
    <w:rsid w:val="00D209DB"/>
    <w:rsid w:val="00D23CF3"/>
    <w:rsid w:val="00D27846"/>
    <w:rsid w:val="00D31261"/>
    <w:rsid w:val="00D31C0B"/>
    <w:rsid w:val="00D32BAA"/>
    <w:rsid w:val="00D3309B"/>
    <w:rsid w:val="00D40E9B"/>
    <w:rsid w:val="00D430AE"/>
    <w:rsid w:val="00D47564"/>
    <w:rsid w:val="00D54813"/>
    <w:rsid w:val="00D54A8E"/>
    <w:rsid w:val="00D54F69"/>
    <w:rsid w:val="00D576B2"/>
    <w:rsid w:val="00D604E6"/>
    <w:rsid w:val="00D61C82"/>
    <w:rsid w:val="00D66AC8"/>
    <w:rsid w:val="00D73F21"/>
    <w:rsid w:val="00D75806"/>
    <w:rsid w:val="00D758C4"/>
    <w:rsid w:val="00D7749F"/>
    <w:rsid w:val="00D836C8"/>
    <w:rsid w:val="00D83BD3"/>
    <w:rsid w:val="00D8624D"/>
    <w:rsid w:val="00D90059"/>
    <w:rsid w:val="00D92C35"/>
    <w:rsid w:val="00D94C4F"/>
    <w:rsid w:val="00D963F9"/>
    <w:rsid w:val="00D97603"/>
    <w:rsid w:val="00D979E9"/>
    <w:rsid w:val="00DA0665"/>
    <w:rsid w:val="00DA3409"/>
    <w:rsid w:val="00DA3C42"/>
    <w:rsid w:val="00DA4A06"/>
    <w:rsid w:val="00DA557C"/>
    <w:rsid w:val="00DA6C46"/>
    <w:rsid w:val="00DB3934"/>
    <w:rsid w:val="00DB51F3"/>
    <w:rsid w:val="00DB7FAA"/>
    <w:rsid w:val="00DC2D8E"/>
    <w:rsid w:val="00DC2F94"/>
    <w:rsid w:val="00DC4491"/>
    <w:rsid w:val="00DC506C"/>
    <w:rsid w:val="00DC5B90"/>
    <w:rsid w:val="00DD5610"/>
    <w:rsid w:val="00DD6470"/>
    <w:rsid w:val="00DE100D"/>
    <w:rsid w:val="00DE4055"/>
    <w:rsid w:val="00DE62F5"/>
    <w:rsid w:val="00DE7008"/>
    <w:rsid w:val="00DE7A18"/>
    <w:rsid w:val="00DF5F76"/>
    <w:rsid w:val="00DF7931"/>
    <w:rsid w:val="00E0568F"/>
    <w:rsid w:val="00E06A2E"/>
    <w:rsid w:val="00E07593"/>
    <w:rsid w:val="00E10007"/>
    <w:rsid w:val="00E10249"/>
    <w:rsid w:val="00E10EC1"/>
    <w:rsid w:val="00E1249C"/>
    <w:rsid w:val="00E128D9"/>
    <w:rsid w:val="00E13E19"/>
    <w:rsid w:val="00E22772"/>
    <w:rsid w:val="00E26097"/>
    <w:rsid w:val="00E30552"/>
    <w:rsid w:val="00E33697"/>
    <w:rsid w:val="00E34C16"/>
    <w:rsid w:val="00E3738F"/>
    <w:rsid w:val="00E403B8"/>
    <w:rsid w:val="00E41459"/>
    <w:rsid w:val="00E446F3"/>
    <w:rsid w:val="00E458B6"/>
    <w:rsid w:val="00E50B7C"/>
    <w:rsid w:val="00E5165C"/>
    <w:rsid w:val="00E5169E"/>
    <w:rsid w:val="00E52180"/>
    <w:rsid w:val="00E55869"/>
    <w:rsid w:val="00E56D59"/>
    <w:rsid w:val="00E56E46"/>
    <w:rsid w:val="00E56EC5"/>
    <w:rsid w:val="00E5769E"/>
    <w:rsid w:val="00E61183"/>
    <w:rsid w:val="00E64BD4"/>
    <w:rsid w:val="00E664B3"/>
    <w:rsid w:val="00E70680"/>
    <w:rsid w:val="00E71652"/>
    <w:rsid w:val="00E75B89"/>
    <w:rsid w:val="00E84703"/>
    <w:rsid w:val="00E87991"/>
    <w:rsid w:val="00E91613"/>
    <w:rsid w:val="00E92358"/>
    <w:rsid w:val="00E961DD"/>
    <w:rsid w:val="00EA0610"/>
    <w:rsid w:val="00EA1AD5"/>
    <w:rsid w:val="00EA5BBE"/>
    <w:rsid w:val="00EA66A4"/>
    <w:rsid w:val="00EA7A3E"/>
    <w:rsid w:val="00EB3133"/>
    <w:rsid w:val="00EB3D24"/>
    <w:rsid w:val="00EB5184"/>
    <w:rsid w:val="00EB71EC"/>
    <w:rsid w:val="00EB72ED"/>
    <w:rsid w:val="00EC401C"/>
    <w:rsid w:val="00EC7BDA"/>
    <w:rsid w:val="00ED2BC6"/>
    <w:rsid w:val="00ED46B5"/>
    <w:rsid w:val="00ED5980"/>
    <w:rsid w:val="00ED7213"/>
    <w:rsid w:val="00EE20A7"/>
    <w:rsid w:val="00EE29D1"/>
    <w:rsid w:val="00EF6DB9"/>
    <w:rsid w:val="00EF74EC"/>
    <w:rsid w:val="00F03623"/>
    <w:rsid w:val="00F039FF"/>
    <w:rsid w:val="00F04486"/>
    <w:rsid w:val="00F048A6"/>
    <w:rsid w:val="00F05CB9"/>
    <w:rsid w:val="00F066F8"/>
    <w:rsid w:val="00F06DC4"/>
    <w:rsid w:val="00F072E7"/>
    <w:rsid w:val="00F12A8B"/>
    <w:rsid w:val="00F12C23"/>
    <w:rsid w:val="00F13A21"/>
    <w:rsid w:val="00F14258"/>
    <w:rsid w:val="00F146DE"/>
    <w:rsid w:val="00F15C3A"/>
    <w:rsid w:val="00F22B26"/>
    <w:rsid w:val="00F2587C"/>
    <w:rsid w:val="00F2589E"/>
    <w:rsid w:val="00F259C3"/>
    <w:rsid w:val="00F25CF3"/>
    <w:rsid w:val="00F27A40"/>
    <w:rsid w:val="00F3041B"/>
    <w:rsid w:val="00F34785"/>
    <w:rsid w:val="00F3776B"/>
    <w:rsid w:val="00F403D1"/>
    <w:rsid w:val="00F46125"/>
    <w:rsid w:val="00F46F88"/>
    <w:rsid w:val="00F5615A"/>
    <w:rsid w:val="00F57D98"/>
    <w:rsid w:val="00F61F17"/>
    <w:rsid w:val="00F6359F"/>
    <w:rsid w:val="00F659C1"/>
    <w:rsid w:val="00F67198"/>
    <w:rsid w:val="00F67258"/>
    <w:rsid w:val="00F711C4"/>
    <w:rsid w:val="00F71672"/>
    <w:rsid w:val="00F759E5"/>
    <w:rsid w:val="00F76871"/>
    <w:rsid w:val="00F80C48"/>
    <w:rsid w:val="00F81383"/>
    <w:rsid w:val="00F85DC9"/>
    <w:rsid w:val="00F8624A"/>
    <w:rsid w:val="00F912AB"/>
    <w:rsid w:val="00F91707"/>
    <w:rsid w:val="00F91AB3"/>
    <w:rsid w:val="00F9409B"/>
    <w:rsid w:val="00F9712C"/>
    <w:rsid w:val="00FA3791"/>
    <w:rsid w:val="00FA3F4B"/>
    <w:rsid w:val="00FA4607"/>
    <w:rsid w:val="00FA5E90"/>
    <w:rsid w:val="00FB20C7"/>
    <w:rsid w:val="00FB25EB"/>
    <w:rsid w:val="00FB2D38"/>
    <w:rsid w:val="00FB5A8F"/>
    <w:rsid w:val="00FB7F43"/>
    <w:rsid w:val="00FC1275"/>
    <w:rsid w:val="00FC5C06"/>
    <w:rsid w:val="00FC662D"/>
    <w:rsid w:val="00FC6788"/>
    <w:rsid w:val="00FC7E82"/>
    <w:rsid w:val="00FD1347"/>
    <w:rsid w:val="00FD2156"/>
    <w:rsid w:val="00FD21CC"/>
    <w:rsid w:val="00FD2F4B"/>
    <w:rsid w:val="00FD426A"/>
    <w:rsid w:val="00FD4441"/>
    <w:rsid w:val="00FE07EA"/>
    <w:rsid w:val="00FE312E"/>
    <w:rsid w:val="00FE3689"/>
    <w:rsid w:val="00FE3BA4"/>
    <w:rsid w:val="00FE46A3"/>
    <w:rsid w:val="00FE66BD"/>
    <w:rsid w:val="00FF0928"/>
    <w:rsid w:val="00FF29FE"/>
    <w:rsid w:val="00FF63F5"/>
    <w:rsid w:val="00FF7654"/>
    <w:rsid w:val="00FF7A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E5A637"/>
  <w15:docId w15:val="{73980AB7-B318-BA42-91A5-465118A8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4DED"/>
    <w:pPr>
      <w:jc w:val="both"/>
    </w:pPr>
    <w:rPr>
      <w:rFonts w:ascii="Tunga" w:hAnsi="Tunga"/>
      <w:sz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link w:val="Kop2Char"/>
    <w:semiHidden/>
    <w:unhideWhenUsed/>
    <w:qFormat/>
    <w:rsid w:val="00270E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qFormat/>
    <w:pPr>
      <w:keepNext/>
      <w:ind w:left="-7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link w:val="PlattetekstChar"/>
    <w:rsid w:val="00076130"/>
    <w:pPr>
      <w:ind w:right="-1"/>
      <w:jc w:val="left"/>
    </w:pPr>
    <w:rPr>
      <w:rFonts w:ascii="Times New Roman" w:hAnsi="Times New Roman"/>
    </w:rPr>
  </w:style>
  <w:style w:type="character" w:customStyle="1" w:styleId="PlattetekstChar">
    <w:name w:val="Platte tekst Char"/>
    <w:basedOn w:val="Standaardalinea-lettertype"/>
    <w:link w:val="Plattetekst"/>
    <w:rsid w:val="00076130"/>
    <w:rPr>
      <w:sz w:val="24"/>
    </w:rPr>
  </w:style>
  <w:style w:type="paragraph" w:customStyle="1" w:styleId="NAW">
    <w:name w:val="NAW"/>
    <w:basedOn w:val="Standaard"/>
    <w:rsid w:val="003B0784"/>
    <w:pPr>
      <w:jc w:val="left"/>
    </w:pPr>
    <w:rPr>
      <w:rFonts w:ascii="Times New Roman" w:hAnsi="Times New Roman"/>
    </w:rPr>
  </w:style>
  <w:style w:type="paragraph" w:styleId="Lijstalinea">
    <w:name w:val="List Paragraph"/>
    <w:qFormat/>
    <w:rsid w:val="00A57EE1"/>
    <w:pPr>
      <w:pBdr>
        <w:top w:val="nil"/>
        <w:left w:val="nil"/>
        <w:bottom w:val="nil"/>
        <w:right w:val="nil"/>
        <w:between w:val="nil"/>
        <w:bar w:val="nil"/>
      </w:pBdr>
      <w:tabs>
        <w:tab w:val="left" w:pos="907"/>
      </w:tabs>
      <w:spacing w:before="300" w:after="200"/>
      <w:jc w:val="both"/>
    </w:pPr>
    <w:rPr>
      <w:rFonts w:ascii="Calibri" w:eastAsia="Arial Unicode MS" w:hAnsi="Arial Unicode MS" w:cs="Arial Unicode MS"/>
      <w:color w:val="000000"/>
      <w:sz w:val="22"/>
      <w:szCs w:val="22"/>
      <w:u w:color="000000"/>
      <w:bdr w:val="nil"/>
      <w:lang w:eastAsia="en-US"/>
    </w:rPr>
  </w:style>
  <w:style w:type="paragraph" w:styleId="Koptekst">
    <w:name w:val="header"/>
    <w:basedOn w:val="Standaard"/>
    <w:link w:val="KoptekstChar"/>
    <w:rsid w:val="00DA3409"/>
    <w:pPr>
      <w:tabs>
        <w:tab w:val="center" w:pos="4320"/>
        <w:tab w:val="right" w:pos="8640"/>
      </w:tabs>
    </w:pPr>
  </w:style>
  <w:style w:type="character" w:customStyle="1" w:styleId="KoptekstChar">
    <w:name w:val="Koptekst Char"/>
    <w:basedOn w:val="Standaardalinea-lettertype"/>
    <w:link w:val="Koptekst"/>
    <w:rsid w:val="00DA3409"/>
    <w:rPr>
      <w:rFonts w:ascii="Tunga" w:hAnsi="Tunga"/>
      <w:sz w:val="24"/>
    </w:rPr>
  </w:style>
  <w:style w:type="paragraph" w:styleId="Voettekst">
    <w:name w:val="footer"/>
    <w:basedOn w:val="Standaard"/>
    <w:link w:val="VoettekstChar"/>
    <w:rsid w:val="00DA3409"/>
    <w:pPr>
      <w:tabs>
        <w:tab w:val="center" w:pos="4320"/>
        <w:tab w:val="right" w:pos="8640"/>
      </w:tabs>
    </w:pPr>
  </w:style>
  <w:style w:type="character" w:customStyle="1" w:styleId="VoettekstChar">
    <w:name w:val="Voettekst Char"/>
    <w:basedOn w:val="Standaardalinea-lettertype"/>
    <w:link w:val="Voettekst"/>
    <w:rsid w:val="00DA3409"/>
    <w:rPr>
      <w:rFonts w:ascii="Tunga" w:hAnsi="Tunga"/>
      <w:sz w:val="24"/>
    </w:rPr>
  </w:style>
  <w:style w:type="character" w:styleId="Paginanummer">
    <w:name w:val="page number"/>
    <w:basedOn w:val="Standaardalinea-lettertype"/>
    <w:rsid w:val="00DA3409"/>
  </w:style>
  <w:style w:type="character" w:styleId="Regelnummer">
    <w:name w:val="line number"/>
    <w:basedOn w:val="Standaardalinea-lettertype"/>
    <w:semiHidden/>
    <w:unhideWhenUsed/>
    <w:rsid w:val="00105EA4"/>
  </w:style>
  <w:style w:type="paragraph" w:styleId="Normaalweb">
    <w:name w:val="Normal (Web)"/>
    <w:basedOn w:val="Standaard"/>
    <w:uiPriority w:val="99"/>
    <w:semiHidden/>
    <w:unhideWhenUsed/>
    <w:rsid w:val="00BA56C4"/>
    <w:rPr>
      <w:rFonts w:ascii="Times New Roman" w:hAnsi="Times New Roman"/>
      <w:szCs w:val="24"/>
    </w:rPr>
  </w:style>
  <w:style w:type="paragraph" w:styleId="Voetnoottekst">
    <w:name w:val="footnote text"/>
    <w:basedOn w:val="Standaard"/>
    <w:link w:val="VoetnoottekstChar"/>
    <w:uiPriority w:val="99"/>
    <w:unhideWhenUsed/>
    <w:rsid w:val="00A2229F"/>
    <w:rPr>
      <w:sz w:val="20"/>
    </w:rPr>
  </w:style>
  <w:style w:type="character" w:customStyle="1" w:styleId="VoetnoottekstChar">
    <w:name w:val="Voetnoottekst Char"/>
    <w:basedOn w:val="Standaardalinea-lettertype"/>
    <w:link w:val="Voetnoottekst"/>
    <w:semiHidden/>
    <w:rsid w:val="00A2229F"/>
    <w:rPr>
      <w:rFonts w:ascii="Tunga" w:hAnsi="Tunga"/>
    </w:rPr>
  </w:style>
  <w:style w:type="character" w:styleId="Voetnootmarkering">
    <w:name w:val="footnote reference"/>
    <w:basedOn w:val="Standaardalinea-lettertype"/>
    <w:uiPriority w:val="99"/>
    <w:unhideWhenUsed/>
    <w:rsid w:val="00A2229F"/>
    <w:rPr>
      <w:vertAlign w:val="superscript"/>
    </w:rPr>
  </w:style>
  <w:style w:type="character" w:customStyle="1" w:styleId="Kop2Char">
    <w:name w:val="Kop 2 Char"/>
    <w:basedOn w:val="Standaardalinea-lettertype"/>
    <w:link w:val="Kop2"/>
    <w:semiHidden/>
    <w:rsid w:val="00270E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72">
      <w:bodyDiv w:val="1"/>
      <w:marLeft w:val="0"/>
      <w:marRight w:val="0"/>
      <w:marTop w:val="0"/>
      <w:marBottom w:val="0"/>
      <w:divBdr>
        <w:top w:val="none" w:sz="0" w:space="0" w:color="auto"/>
        <w:left w:val="none" w:sz="0" w:space="0" w:color="auto"/>
        <w:bottom w:val="none" w:sz="0" w:space="0" w:color="auto"/>
        <w:right w:val="none" w:sz="0" w:space="0" w:color="auto"/>
      </w:divBdr>
    </w:div>
    <w:div w:id="220478848">
      <w:bodyDiv w:val="1"/>
      <w:marLeft w:val="0"/>
      <w:marRight w:val="0"/>
      <w:marTop w:val="0"/>
      <w:marBottom w:val="0"/>
      <w:divBdr>
        <w:top w:val="none" w:sz="0" w:space="0" w:color="auto"/>
        <w:left w:val="none" w:sz="0" w:space="0" w:color="auto"/>
        <w:bottom w:val="none" w:sz="0" w:space="0" w:color="auto"/>
        <w:right w:val="none" w:sz="0" w:space="0" w:color="auto"/>
      </w:divBdr>
    </w:div>
    <w:div w:id="286394364">
      <w:bodyDiv w:val="1"/>
      <w:marLeft w:val="0"/>
      <w:marRight w:val="0"/>
      <w:marTop w:val="0"/>
      <w:marBottom w:val="0"/>
      <w:divBdr>
        <w:top w:val="none" w:sz="0" w:space="0" w:color="auto"/>
        <w:left w:val="none" w:sz="0" w:space="0" w:color="auto"/>
        <w:bottom w:val="none" w:sz="0" w:space="0" w:color="auto"/>
        <w:right w:val="none" w:sz="0" w:space="0" w:color="auto"/>
      </w:divBdr>
      <w:divsChild>
        <w:div w:id="977682887">
          <w:marLeft w:val="0"/>
          <w:marRight w:val="0"/>
          <w:marTop w:val="0"/>
          <w:marBottom w:val="0"/>
          <w:divBdr>
            <w:top w:val="none" w:sz="0" w:space="0" w:color="auto"/>
            <w:left w:val="none" w:sz="0" w:space="0" w:color="auto"/>
            <w:bottom w:val="none" w:sz="0" w:space="0" w:color="auto"/>
            <w:right w:val="none" w:sz="0" w:space="0" w:color="auto"/>
          </w:divBdr>
          <w:divsChild>
            <w:div w:id="5979866">
              <w:marLeft w:val="0"/>
              <w:marRight w:val="0"/>
              <w:marTop w:val="0"/>
              <w:marBottom w:val="0"/>
              <w:divBdr>
                <w:top w:val="none" w:sz="0" w:space="0" w:color="auto"/>
                <w:left w:val="none" w:sz="0" w:space="0" w:color="auto"/>
                <w:bottom w:val="none" w:sz="0" w:space="0" w:color="auto"/>
                <w:right w:val="none" w:sz="0" w:space="0" w:color="auto"/>
              </w:divBdr>
              <w:divsChild>
                <w:div w:id="19436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87089">
      <w:bodyDiv w:val="1"/>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0"/>
          <w:marRight w:val="0"/>
          <w:marTop w:val="0"/>
          <w:marBottom w:val="0"/>
          <w:divBdr>
            <w:top w:val="none" w:sz="0" w:space="0" w:color="auto"/>
            <w:left w:val="none" w:sz="0" w:space="0" w:color="auto"/>
            <w:bottom w:val="none" w:sz="0" w:space="0" w:color="auto"/>
            <w:right w:val="none" w:sz="0" w:space="0" w:color="auto"/>
          </w:divBdr>
          <w:divsChild>
            <w:div w:id="2103181827">
              <w:marLeft w:val="0"/>
              <w:marRight w:val="0"/>
              <w:marTop w:val="0"/>
              <w:marBottom w:val="0"/>
              <w:divBdr>
                <w:top w:val="none" w:sz="0" w:space="0" w:color="auto"/>
                <w:left w:val="none" w:sz="0" w:space="0" w:color="auto"/>
                <w:bottom w:val="none" w:sz="0" w:space="0" w:color="auto"/>
                <w:right w:val="none" w:sz="0" w:space="0" w:color="auto"/>
              </w:divBdr>
              <w:divsChild>
                <w:div w:id="19502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4158">
      <w:bodyDiv w:val="1"/>
      <w:marLeft w:val="0"/>
      <w:marRight w:val="0"/>
      <w:marTop w:val="0"/>
      <w:marBottom w:val="0"/>
      <w:divBdr>
        <w:top w:val="none" w:sz="0" w:space="0" w:color="auto"/>
        <w:left w:val="none" w:sz="0" w:space="0" w:color="auto"/>
        <w:bottom w:val="none" w:sz="0" w:space="0" w:color="auto"/>
        <w:right w:val="none" w:sz="0" w:space="0" w:color="auto"/>
      </w:divBdr>
      <w:divsChild>
        <w:div w:id="470177475">
          <w:marLeft w:val="0"/>
          <w:marRight w:val="0"/>
          <w:marTop w:val="0"/>
          <w:marBottom w:val="0"/>
          <w:divBdr>
            <w:top w:val="none" w:sz="0" w:space="0" w:color="auto"/>
            <w:left w:val="none" w:sz="0" w:space="0" w:color="auto"/>
            <w:bottom w:val="none" w:sz="0" w:space="0" w:color="auto"/>
            <w:right w:val="none" w:sz="0" w:space="0" w:color="auto"/>
          </w:divBdr>
          <w:divsChild>
            <w:div w:id="1234121916">
              <w:marLeft w:val="0"/>
              <w:marRight w:val="0"/>
              <w:marTop w:val="0"/>
              <w:marBottom w:val="0"/>
              <w:divBdr>
                <w:top w:val="none" w:sz="0" w:space="0" w:color="auto"/>
                <w:left w:val="none" w:sz="0" w:space="0" w:color="auto"/>
                <w:bottom w:val="none" w:sz="0" w:space="0" w:color="auto"/>
                <w:right w:val="none" w:sz="0" w:space="0" w:color="auto"/>
              </w:divBdr>
              <w:divsChild>
                <w:div w:id="123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1288">
      <w:bodyDiv w:val="1"/>
      <w:marLeft w:val="0"/>
      <w:marRight w:val="0"/>
      <w:marTop w:val="0"/>
      <w:marBottom w:val="0"/>
      <w:divBdr>
        <w:top w:val="none" w:sz="0" w:space="0" w:color="auto"/>
        <w:left w:val="none" w:sz="0" w:space="0" w:color="auto"/>
        <w:bottom w:val="none" w:sz="0" w:space="0" w:color="auto"/>
        <w:right w:val="none" w:sz="0" w:space="0" w:color="auto"/>
      </w:divBdr>
    </w:div>
    <w:div w:id="449402247">
      <w:bodyDiv w:val="1"/>
      <w:marLeft w:val="0"/>
      <w:marRight w:val="0"/>
      <w:marTop w:val="0"/>
      <w:marBottom w:val="0"/>
      <w:divBdr>
        <w:top w:val="none" w:sz="0" w:space="0" w:color="auto"/>
        <w:left w:val="none" w:sz="0" w:space="0" w:color="auto"/>
        <w:bottom w:val="none" w:sz="0" w:space="0" w:color="auto"/>
        <w:right w:val="none" w:sz="0" w:space="0" w:color="auto"/>
      </w:divBdr>
      <w:divsChild>
        <w:div w:id="1368749355">
          <w:marLeft w:val="0"/>
          <w:marRight w:val="0"/>
          <w:marTop w:val="0"/>
          <w:marBottom w:val="0"/>
          <w:divBdr>
            <w:top w:val="none" w:sz="0" w:space="0" w:color="auto"/>
            <w:left w:val="none" w:sz="0" w:space="0" w:color="auto"/>
            <w:bottom w:val="none" w:sz="0" w:space="0" w:color="auto"/>
            <w:right w:val="none" w:sz="0" w:space="0" w:color="auto"/>
          </w:divBdr>
          <w:divsChild>
            <w:div w:id="614563060">
              <w:marLeft w:val="0"/>
              <w:marRight w:val="0"/>
              <w:marTop w:val="0"/>
              <w:marBottom w:val="0"/>
              <w:divBdr>
                <w:top w:val="none" w:sz="0" w:space="0" w:color="auto"/>
                <w:left w:val="none" w:sz="0" w:space="0" w:color="auto"/>
                <w:bottom w:val="none" w:sz="0" w:space="0" w:color="auto"/>
                <w:right w:val="none" w:sz="0" w:space="0" w:color="auto"/>
              </w:divBdr>
              <w:divsChild>
                <w:div w:id="2041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5653">
      <w:bodyDiv w:val="1"/>
      <w:marLeft w:val="0"/>
      <w:marRight w:val="0"/>
      <w:marTop w:val="0"/>
      <w:marBottom w:val="0"/>
      <w:divBdr>
        <w:top w:val="none" w:sz="0" w:space="0" w:color="auto"/>
        <w:left w:val="none" w:sz="0" w:space="0" w:color="auto"/>
        <w:bottom w:val="none" w:sz="0" w:space="0" w:color="auto"/>
        <w:right w:val="none" w:sz="0" w:space="0" w:color="auto"/>
      </w:divBdr>
    </w:div>
    <w:div w:id="608968834">
      <w:bodyDiv w:val="1"/>
      <w:marLeft w:val="0"/>
      <w:marRight w:val="0"/>
      <w:marTop w:val="0"/>
      <w:marBottom w:val="0"/>
      <w:divBdr>
        <w:top w:val="none" w:sz="0" w:space="0" w:color="auto"/>
        <w:left w:val="none" w:sz="0" w:space="0" w:color="auto"/>
        <w:bottom w:val="none" w:sz="0" w:space="0" w:color="auto"/>
        <w:right w:val="none" w:sz="0" w:space="0" w:color="auto"/>
      </w:divBdr>
    </w:div>
    <w:div w:id="717048131">
      <w:bodyDiv w:val="1"/>
      <w:marLeft w:val="0"/>
      <w:marRight w:val="0"/>
      <w:marTop w:val="0"/>
      <w:marBottom w:val="0"/>
      <w:divBdr>
        <w:top w:val="none" w:sz="0" w:space="0" w:color="auto"/>
        <w:left w:val="none" w:sz="0" w:space="0" w:color="auto"/>
        <w:bottom w:val="none" w:sz="0" w:space="0" w:color="auto"/>
        <w:right w:val="none" w:sz="0" w:space="0" w:color="auto"/>
      </w:divBdr>
    </w:div>
    <w:div w:id="875583656">
      <w:bodyDiv w:val="1"/>
      <w:marLeft w:val="0"/>
      <w:marRight w:val="0"/>
      <w:marTop w:val="0"/>
      <w:marBottom w:val="0"/>
      <w:divBdr>
        <w:top w:val="none" w:sz="0" w:space="0" w:color="auto"/>
        <w:left w:val="none" w:sz="0" w:space="0" w:color="auto"/>
        <w:bottom w:val="none" w:sz="0" w:space="0" w:color="auto"/>
        <w:right w:val="none" w:sz="0" w:space="0" w:color="auto"/>
      </w:divBdr>
    </w:div>
    <w:div w:id="1015422870">
      <w:bodyDiv w:val="1"/>
      <w:marLeft w:val="0"/>
      <w:marRight w:val="0"/>
      <w:marTop w:val="0"/>
      <w:marBottom w:val="0"/>
      <w:divBdr>
        <w:top w:val="none" w:sz="0" w:space="0" w:color="auto"/>
        <w:left w:val="none" w:sz="0" w:space="0" w:color="auto"/>
        <w:bottom w:val="none" w:sz="0" w:space="0" w:color="auto"/>
        <w:right w:val="none" w:sz="0" w:space="0" w:color="auto"/>
      </w:divBdr>
    </w:div>
    <w:div w:id="1160192720">
      <w:bodyDiv w:val="1"/>
      <w:marLeft w:val="0"/>
      <w:marRight w:val="0"/>
      <w:marTop w:val="0"/>
      <w:marBottom w:val="0"/>
      <w:divBdr>
        <w:top w:val="none" w:sz="0" w:space="0" w:color="auto"/>
        <w:left w:val="none" w:sz="0" w:space="0" w:color="auto"/>
        <w:bottom w:val="none" w:sz="0" w:space="0" w:color="auto"/>
        <w:right w:val="none" w:sz="0" w:space="0" w:color="auto"/>
      </w:divBdr>
      <w:divsChild>
        <w:div w:id="1968198371">
          <w:marLeft w:val="0"/>
          <w:marRight w:val="0"/>
          <w:marTop w:val="0"/>
          <w:marBottom w:val="0"/>
          <w:divBdr>
            <w:top w:val="none" w:sz="0" w:space="0" w:color="auto"/>
            <w:left w:val="none" w:sz="0" w:space="0" w:color="auto"/>
            <w:bottom w:val="none" w:sz="0" w:space="0" w:color="auto"/>
            <w:right w:val="none" w:sz="0" w:space="0" w:color="auto"/>
          </w:divBdr>
          <w:divsChild>
            <w:div w:id="984889498">
              <w:marLeft w:val="0"/>
              <w:marRight w:val="0"/>
              <w:marTop w:val="0"/>
              <w:marBottom w:val="0"/>
              <w:divBdr>
                <w:top w:val="none" w:sz="0" w:space="0" w:color="auto"/>
                <w:left w:val="none" w:sz="0" w:space="0" w:color="auto"/>
                <w:bottom w:val="none" w:sz="0" w:space="0" w:color="auto"/>
                <w:right w:val="none" w:sz="0" w:space="0" w:color="auto"/>
              </w:divBdr>
              <w:divsChild>
                <w:div w:id="571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1389">
          <w:marLeft w:val="0"/>
          <w:marRight w:val="0"/>
          <w:marTop w:val="0"/>
          <w:marBottom w:val="0"/>
          <w:divBdr>
            <w:top w:val="none" w:sz="0" w:space="0" w:color="auto"/>
            <w:left w:val="none" w:sz="0" w:space="0" w:color="auto"/>
            <w:bottom w:val="none" w:sz="0" w:space="0" w:color="auto"/>
            <w:right w:val="none" w:sz="0" w:space="0" w:color="auto"/>
          </w:divBdr>
          <w:divsChild>
            <w:div w:id="995189091">
              <w:marLeft w:val="0"/>
              <w:marRight w:val="0"/>
              <w:marTop w:val="0"/>
              <w:marBottom w:val="0"/>
              <w:divBdr>
                <w:top w:val="none" w:sz="0" w:space="0" w:color="auto"/>
                <w:left w:val="none" w:sz="0" w:space="0" w:color="auto"/>
                <w:bottom w:val="none" w:sz="0" w:space="0" w:color="auto"/>
                <w:right w:val="none" w:sz="0" w:space="0" w:color="auto"/>
              </w:divBdr>
              <w:divsChild>
                <w:div w:id="2072266014">
                  <w:marLeft w:val="0"/>
                  <w:marRight w:val="0"/>
                  <w:marTop w:val="0"/>
                  <w:marBottom w:val="0"/>
                  <w:divBdr>
                    <w:top w:val="none" w:sz="0" w:space="0" w:color="auto"/>
                    <w:left w:val="none" w:sz="0" w:space="0" w:color="auto"/>
                    <w:bottom w:val="none" w:sz="0" w:space="0" w:color="auto"/>
                    <w:right w:val="none" w:sz="0" w:space="0" w:color="auto"/>
                  </w:divBdr>
                </w:div>
              </w:divsChild>
            </w:div>
            <w:div w:id="1212376722">
              <w:marLeft w:val="0"/>
              <w:marRight w:val="0"/>
              <w:marTop w:val="0"/>
              <w:marBottom w:val="0"/>
              <w:divBdr>
                <w:top w:val="none" w:sz="0" w:space="0" w:color="auto"/>
                <w:left w:val="none" w:sz="0" w:space="0" w:color="auto"/>
                <w:bottom w:val="none" w:sz="0" w:space="0" w:color="auto"/>
                <w:right w:val="none" w:sz="0" w:space="0" w:color="auto"/>
              </w:divBdr>
              <w:divsChild>
                <w:div w:id="10017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2203">
      <w:bodyDiv w:val="1"/>
      <w:marLeft w:val="0"/>
      <w:marRight w:val="0"/>
      <w:marTop w:val="0"/>
      <w:marBottom w:val="0"/>
      <w:divBdr>
        <w:top w:val="none" w:sz="0" w:space="0" w:color="auto"/>
        <w:left w:val="none" w:sz="0" w:space="0" w:color="auto"/>
        <w:bottom w:val="none" w:sz="0" w:space="0" w:color="auto"/>
        <w:right w:val="none" w:sz="0" w:space="0" w:color="auto"/>
      </w:divBdr>
    </w:div>
    <w:div w:id="1295411451">
      <w:bodyDiv w:val="1"/>
      <w:marLeft w:val="0"/>
      <w:marRight w:val="0"/>
      <w:marTop w:val="0"/>
      <w:marBottom w:val="0"/>
      <w:divBdr>
        <w:top w:val="none" w:sz="0" w:space="0" w:color="auto"/>
        <w:left w:val="none" w:sz="0" w:space="0" w:color="auto"/>
        <w:bottom w:val="none" w:sz="0" w:space="0" w:color="auto"/>
        <w:right w:val="none" w:sz="0" w:space="0" w:color="auto"/>
      </w:divBdr>
    </w:div>
    <w:div w:id="1328092091">
      <w:bodyDiv w:val="1"/>
      <w:marLeft w:val="0"/>
      <w:marRight w:val="0"/>
      <w:marTop w:val="0"/>
      <w:marBottom w:val="0"/>
      <w:divBdr>
        <w:top w:val="none" w:sz="0" w:space="0" w:color="auto"/>
        <w:left w:val="none" w:sz="0" w:space="0" w:color="auto"/>
        <w:bottom w:val="none" w:sz="0" w:space="0" w:color="auto"/>
        <w:right w:val="none" w:sz="0" w:space="0" w:color="auto"/>
      </w:divBdr>
    </w:div>
    <w:div w:id="1360664148">
      <w:bodyDiv w:val="1"/>
      <w:marLeft w:val="0"/>
      <w:marRight w:val="0"/>
      <w:marTop w:val="0"/>
      <w:marBottom w:val="0"/>
      <w:divBdr>
        <w:top w:val="none" w:sz="0" w:space="0" w:color="auto"/>
        <w:left w:val="none" w:sz="0" w:space="0" w:color="auto"/>
        <w:bottom w:val="none" w:sz="0" w:space="0" w:color="auto"/>
        <w:right w:val="none" w:sz="0" w:space="0" w:color="auto"/>
      </w:divBdr>
    </w:div>
    <w:div w:id="1416054523">
      <w:bodyDiv w:val="1"/>
      <w:marLeft w:val="0"/>
      <w:marRight w:val="0"/>
      <w:marTop w:val="0"/>
      <w:marBottom w:val="0"/>
      <w:divBdr>
        <w:top w:val="none" w:sz="0" w:space="0" w:color="auto"/>
        <w:left w:val="none" w:sz="0" w:space="0" w:color="auto"/>
        <w:bottom w:val="none" w:sz="0" w:space="0" w:color="auto"/>
        <w:right w:val="none" w:sz="0" w:space="0" w:color="auto"/>
      </w:divBdr>
    </w:div>
    <w:div w:id="1599559760">
      <w:bodyDiv w:val="1"/>
      <w:marLeft w:val="0"/>
      <w:marRight w:val="0"/>
      <w:marTop w:val="0"/>
      <w:marBottom w:val="0"/>
      <w:divBdr>
        <w:top w:val="none" w:sz="0" w:space="0" w:color="auto"/>
        <w:left w:val="none" w:sz="0" w:space="0" w:color="auto"/>
        <w:bottom w:val="none" w:sz="0" w:space="0" w:color="auto"/>
        <w:right w:val="none" w:sz="0" w:space="0" w:color="auto"/>
      </w:divBdr>
      <w:divsChild>
        <w:div w:id="2082173742">
          <w:marLeft w:val="0"/>
          <w:marRight w:val="0"/>
          <w:marTop w:val="0"/>
          <w:marBottom w:val="0"/>
          <w:divBdr>
            <w:top w:val="none" w:sz="0" w:space="0" w:color="auto"/>
            <w:left w:val="none" w:sz="0" w:space="0" w:color="auto"/>
            <w:bottom w:val="none" w:sz="0" w:space="0" w:color="auto"/>
            <w:right w:val="none" w:sz="0" w:space="0" w:color="auto"/>
          </w:divBdr>
          <w:divsChild>
            <w:div w:id="641039805">
              <w:marLeft w:val="0"/>
              <w:marRight w:val="0"/>
              <w:marTop w:val="0"/>
              <w:marBottom w:val="0"/>
              <w:divBdr>
                <w:top w:val="none" w:sz="0" w:space="0" w:color="auto"/>
                <w:left w:val="none" w:sz="0" w:space="0" w:color="auto"/>
                <w:bottom w:val="none" w:sz="0" w:space="0" w:color="auto"/>
                <w:right w:val="none" w:sz="0" w:space="0" w:color="auto"/>
              </w:divBdr>
              <w:divsChild>
                <w:div w:id="9397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3715">
      <w:bodyDiv w:val="1"/>
      <w:marLeft w:val="0"/>
      <w:marRight w:val="0"/>
      <w:marTop w:val="0"/>
      <w:marBottom w:val="0"/>
      <w:divBdr>
        <w:top w:val="none" w:sz="0" w:space="0" w:color="auto"/>
        <w:left w:val="none" w:sz="0" w:space="0" w:color="auto"/>
        <w:bottom w:val="none" w:sz="0" w:space="0" w:color="auto"/>
        <w:right w:val="none" w:sz="0" w:space="0" w:color="auto"/>
      </w:divBdr>
    </w:div>
    <w:div w:id="1967854034">
      <w:bodyDiv w:val="1"/>
      <w:marLeft w:val="0"/>
      <w:marRight w:val="0"/>
      <w:marTop w:val="0"/>
      <w:marBottom w:val="0"/>
      <w:divBdr>
        <w:top w:val="none" w:sz="0" w:space="0" w:color="auto"/>
        <w:left w:val="none" w:sz="0" w:space="0" w:color="auto"/>
        <w:bottom w:val="none" w:sz="0" w:space="0" w:color="auto"/>
        <w:right w:val="none" w:sz="0" w:space="0" w:color="auto"/>
      </w:divBdr>
      <w:divsChild>
        <w:div w:id="556168547">
          <w:marLeft w:val="0"/>
          <w:marRight w:val="0"/>
          <w:marTop w:val="0"/>
          <w:marBottom w:val="0"/>
          <w:divBdr>
            <w:top w:val="none" w:sz="0" w:space="0" w:color="auto"/>
            <w:left w:val="none" w:sz="0" w:space="0" w:color="auto"/>
            <w:bottom w:val="none" w:sz="0" w:space="0" w:color="auto"/>
            <w:right w:val="none" w:sz="0" w:space="0" w:color="auto"/>
          </w:divBdr>
        </w:div>
      </w:divsChild>
    </w:div>
    <w:div w:id="2109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874B-B458-43CA-B6BB-9C977F08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11179</Characters>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Alphen a/d Rijn, 23 juni 1995</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2021-03-02T10:40:00Z</cp:lastPrinted>
  <dcterms:created xsi:type="dcterms:W3CDTF">2022-03-02T10:49:00Z</dcterms:created>
  <dcterms:modified xsi:type="dcterms:W3CDTF">2022-03-02T10:49:00Z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tandsPath">
    <vt:lpwstr>G:\DOCUMENTEN\@concepten</vt:lpwstr>
  </property>
  <property fmtid="{D5CDD505-2E9C-101B-9397-08002B2CF9AE}" pid="3" name="BestandsPathGoed">
    <vt:lpwstr>G:\DOCUMENTEN\rooijen, van - sally beauty 2013579</vt:lpwstr>
  </property>
  <property fmtid="{D5CDD505-2E9C-101B-9397-08002B2CF9AE}" pid="4" name="BestandsNaam">
    <vt:lpwstr>\.doc</vt:lpwstr>
  </property>
  <property fmtid="{D5CDD505-2E9C-101B-9397-08002B2CF9AE}" pid="5" name="Goedgekeurd">
    <vt:lpwstr>False</vt:lpwstr>
  </property>
</Properties>
</file>